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3E66" w14:textId="4AE9AEE0" w:rsidR="00A9699E" w:rsidRPr="00D7767B" w:rsidRDefault="00A9699E" w:rsidP="008C2C03">
      <w:pPr>
        <w:pStyle w:val="Title"/>
        <w:spacing w:line="276" w:lineRule="auto"/>
        <w:jc w:val="center"/>
        <w:rPr>
          <w:b/>
          <w:bCs/>
          <w:sz w:val="40"/>
          <w:szCs w:val="40"/>
        </w:rPr>
      </w:pPr>
      <w:r w:rsidRPr="00D7767B">
        <w:rPr>
          <w:b/>
          <w:bCs/>
          <w:sz w:val="40"/>
          <w:szCs w:val="40"/>
        </w:rPr>
        <w:t>University of Bristol</w:t>
      </w:r>
    </w:p>
    <w:p w14:paraId="0BB75FD4" w14:textId="452DC05B" w:rsidR="00B90C70" w:rsidRPr="00D7767B" w:rsidRDefault="00A9167B" w:rsidP="008C2C03">
      <w:pPr>
        <w:pStyle w:val="Title"/>
        <w:spacing w:line="276" w:lineRule="auto"/>
        <w:jc w:val="center"/>
        <w:rPr>
          <w:b/>
          <w:bCs/>
          <w:sz w:val="40"/>
          <w:szCs w:val="40"/>
        </w:rPr>
      </w:pPr>
      <w:r w:rsidRPr="00D7767B">
        <w:rPr>
          <w:b/>
          <w:bCs/>
          <w:sz w:val="40"/>
          <w:szCs w:val="40"/>
        </w:rPr>
        <w:t>T</w:t>
      </w:r>
      <w:r w:rsidR="00B90C70" w:rsidRPr="00D7767B">
        <w:rPr>
          <w:b/>
          <w:bCs/>
          <w:sz w:val="40"/>
          <w:szCs w:val="40"/>
        </w:rPr>
        <w:t>each</w:t>
      </w:r>
      <w:r w:rsidR="00C95C92" w:rsidRPr="00D7767B">
        <w:rPr>
          <w:b/>
          <w:bCs/>
          <w:sz w:val="40"/>
          <w:szCs w:val="40"/>
        </w:rPr>
        <w:t>ing Support Role</w:t>
      </w:r>
      <w:r w:rsidR="00614E8B" w:rsidRPr="00D7767B">
        <w:rPr>
          <w:b/>
          <w:bCs/>
          <w:sz w:val="40"/>
          <w:szCs w:val="40"/>
        </w:rPr>
        <w:t>s</w:t>
      </w:r>
    </w:p>
    <w:p w14:paraId="655FEDB9" w14:textId="1C84A65D" w:rsidR="00614E8B" w:rsidRPr="00D7767B" w:rsidRDefault="00614E8B" w:rsidP="00614E8B">
      <w:pPr>
        <w:jc w:val="center"/>
        <w:rPr>
          <w:b/>
          <w:bCs/>
          <w:sz w:val="40"/>
          <w:szCs w:val="40"/>
        </w:rPr>
      </w:pPr>
      <w:r w:rsidRPr="00D7767B">
        <w:rPr>
          <w:b/>
          <w:bCs/>
          <w:sz w:val="40"/>
          <w:szCs w:val="40"/>
        </w:rPr>
        <w:t>Guidance</w:t>
      </w:r>
      <w:r w:rsidR="008C2C03" w:rsidRPr="00D7767B">
        <w:rPr>
          <w:b/>
          <w:bCs/>
          <w:sz w:val="40"/>
          <w:szCs w:val="40"/>
        </w:rPr>
        <w:t xml:space="preserve"> &amp; Information</w:t>
      </w:r>
      <w:r w:rsidRPr="00D7767B">
        <w:rPr>
          <w:b/>
          <w:bCs/>
          <w:sz w:val="40"/>
          <w:szCs w:val="40"/>
        </w:rPr>
        <w:t xml:space="preserve"> for Staff</w:t>
      </w:r>
      <w:r w:rsidR="00744785" w:rsidRPr="00D7767B">
        <w:rPr>
          <w:b/>
          <w:bCs/>
          <w:sz w:val="40"/>
          <w:szCs w:val="40"/>
        </w:rPr>
        <w:t xml:space="preserve"> (August 2022)</w:t>
      </w:r>
    </w:p>
    <w:p w14:paraId="091CE37C" w14:textId="77777777" w:rsidR="00B90C70" w:rsidRPr="00996965" w:rsidRDefault="00B90C70" w:rsidP="00B90C70">
      <w:pPr>
        <w:pStyle w:val="Heading1"/>
        <w:numPr>
          <w:ilvl w:val="0"/>
          <w:numId w:val="2"/>
        </w:numPr>
        <w:spacing w:line="360" w:lineRule="auto"/>
      </w:pPr>
      <w:bookmarkStart w:id="0" w:name="_Toc31624766"/>
      <w:r w:rsidRPr="00996965">
        <w:t>Introduction</w:t>
      </w:r>
      <w:bookmarkEnd w:id="0"/>
    </w:p>
    <w:p w14:paraId="344FB9AE" w14:textId="6503AED2" w:rsidR="00B90C70" w:rsidRDefault="00952E94" w:rsidP="00B90C70">
      <w:pPr>
        <w:spacing w:line="360" w:lineRule="auto"/>
      </w:pPr>
      <w:r>
        <w:t xml:space="preserve">The University is committed to employing staff in Teaching Support roles in a fair and transparent way. A framework has been developed for all Teaching Support roles and this guidance covers the employment </w:t>
      </w:r>
      <w:r w:rsidR="00A9699E">
        <w:t xml:space="preserve">terms for </w:t>
      </w:r>
      <w:r>
        <w:t xml:space="preserve">Teaching Support roles at grades </w:t>
      </w:r>
      <w:r w:rsidR="00C95C92">
        <w:t xml:space="preserve">F, </w:t>
      </w:r>
      <w:r>
        <w:t>G &amp; H (</w:t>
      </w:r>
      <w:r w:rsidR="00C95C92">
        <w:t xml:space="preserve">including </w:t>
      </w:r>
      <w:r>
        <w:t>roles previously known as Teaching Support Assistant and Assistant Teacher</w:t>
      </w:r>
      <w:r w:rsidR="00BE091F">
        <w:t>)</w:t>
      </w:r>
      <w:r>
        <w:t xml:space="preserve">. The full role profiles for these roles are available here </w:t>
      </w:r>
      <w:hyperlink r:id="rId7" w:history="1">
        <w:r w:rsidR="00B32C00">
          <w:rPr>
            <w:rStyle w:val="Hyperlink"/>
          </w:rPr>
          <w:t>Role Descriptors | Human Resources | University of Bristol</w:t>
        </w:r>
      </w:hyperlink>
      <w:r w:rsidR="00B32C00">
        <w:t xml:space="preserve"> </w:t>
      </w:r>
      <w:r>
        <w:t xml:space="preserve"> </w:t>
      </w:r>
    </w:p>
    <w:p w14:paraId="4B8E397A" w14:textId="417CEC4B" w:rsidR="00B90C70" w:rsidRPr="00996965" w:rsidRDefault="00B90C70" w:rsidP="00996965">
      <w:pPr>
        <w:pStyle w:val="Heading2"/>
        <w:numPr>
          <w:ilvl w:val="0"/>
          <w:numId w:val="2"/>
        </w:numPr>
        <w:spacing w:line="360" w:lineRule="auto"/>
        <w:rPr>
          <w:sz w:val="32"/>
          <w:szCs w:val="32"/>
        </w:rPr>
      </w:pPr>
      <w:r w:rsidRPr="00996965">
        <w:rPr>
          <w:sz w:val="32"/>
          <w:szCs w:val="32"/>
        </w:rPr>
        <w:t xml:space="preserve">What is a </w:t>
      </w:r>
      <w:r w:rsidR="00C95C92" w:rsidRPr="00996965">
        <w:rPr>
          <w:sz w:val="32"/>
          <w:szCs w:val="32"/>
        </w:rPr>
        <w:t>Teaching Support Role</w:t>
      </w:r>
      <w:r w:rsidRPr="00996965">
        <w:rPr>
          <w:sz w:val="32"/>
          <w:szCs w:val="32"/>
        </w:rPr>
        <w:t>?</w:t>
      </w:r>
    </w:p>
    <w:p w14:paraId="6E08B33F" w14:textId="0580DDAB" w:rsidR="00B90C70" w:rsidRDefault="00C95C92" w:rsidP="00B90C70">
      <w:pPr>
        <w:spacing w:line="360" w:lineRule="auto"/>
      </w:pPr>
      <w:r>
        <w:t xml:space="preserve">Teaching Support </w:t>
      </w:r>
      <w:r w:rsidR="00614E8B">
        <w:t>roles</w:t>
      </w:r>
      <w:r w:rsidR="00B90C70">
        <w:t xml:space="preserve"> </w:t>
      </w:r>
      <w:r w:rsidR="00A9699E">
        <w:t xml:space="preserve">can be </w:t>
      </w:r>
      <w:r w:rsidR="00614E8B">
        <w:t xml:space="preserve">offered to </w:t>
      </w:r>
      <w:r w:rsidR="00A9699E">
        <w:t xml:space="preserve">our </w:t>
      </w:r>
      <w:r w:rsidR="00B90C70">
        <w:t xml:space="preserve">postgraduate research (PGR) students who wish to gain teaching experience </w:t>
      </w:r>
      <w:r w:rsidR="00614E8B">
        <w:t xml:space="preserve">as </w:t>
      </w:r>
      <w:r w:rsidR="00F1571A">
        <w:t xml:space="preserve">one or </w:t>
      </w:r>
      <w:r w:rsidR="00B90C70">
        <w:t xml:space="preserve">two-year teaching assignments </w:t>
      </w:r>
      <w:r w:rsidR="00614E8B">
        <w:t xml:space="preserve">depending on the needs of the </w:t>
      </w:r>
      <w:proofErr w:type="gramStart"/>
      <w:r w:rsidR="00614E8B">
        <w:t>School</w:t>
      </w:r>
      <w:proofErr w:type="gramEnd"/>
      <w:r w:rsidR="00B32C00">
        <w:t xml:space="preserve"> </w:t>
      </w:r>
      <w:r w:rsidR="00520D6F">
        <w:t xml:space="preserve">and </w:t>
      </w:r>
      <w:r w:rsidR="00A9699E">
        <w:t xml:space="preserve">these opportunities </w:t>
      </w:r>
      <w:r w:rsidR="00520D6F">
        <w:t xml:space="preserve">can support </w:t>
      </w:r>
      <w:r w:rsidR="00A9699E">
        <w:t xml:space="preserve">future employability </w:t>
      </w:r>
      <w:r w:rsidR="00520D6F">
        <w:t>career deve</w:t>
      </w:r>
      <w:r w:rsidR="00B90C70">
        <w:t xml:space="preserve">lopment.  </w:t>
      </w:r>
      <w:r w:rsidR="00952E94">
        <w:t xml:space="preserve">The opportunities can also provide </w:t>
      </w:r>
      <w:r w:rsidR="00A9699E">
        <w:t>you with a</w:t>
      </w:r>
      <w:r w:rsidR="00952E94">
        <w:t xml:space="preserve"> source of income </w:t>
      </w:r>
      <w:r w:rsidR="00614E8B">
        <w:t>if you</w:t>
      </w:r>
      <w:r w:rsidR="00952E94">
        <w:t xml:space="preserve"> are self-funding PG studies. </w:t>
      </w:r>
      <w:r w:rsidR="00520D6F">
        <w:t>If you are employed in a Teaching Support Role, y</w:t>
      </w:r>
      <w:r w:rsidR="00614E8B">
        <w:t xml:space="preserve">ou will be </w:t>
      </w:r>
      <w:r w:rsidR="00B90C70">
        <w:t>employed on a guaranteed minimum hours basis</w:t>
      </w:r>
      <w:r w:rsidR="00B46922">
        <w:t xml:space="preserve"> at </w:t>
      </w:r>
      <w:r w:rsidR="007106A5">
        <w:t xml:space="preserve">either </w:t>
      </w:r>
      <w:r w:rsidR="00B46922">
        <w:t xml:space="preserve">Grade </w:t>
      </w:r>
      <w:r>
        <w:t>F</w:t>
      </w:r>
      <w:r w:rsidR="007106A5">
        <w:t xml:space="preserve"> (Demonstrator)</w:t>
      </w:r>
      <w:r>
        <w:t xml:space="preserve">, </w:t>
      </w:r>
      <w:r w:rsidR="00B46922">
        <w:t>G</w:t>
      </w:r>
      <w:r w:rsidR="007106A5">
        <w:t xml:space="preserve"> (Graduate Teacher Level 1)</w:t>
      </w:r>
      <w:r w:rsidR="00B46922">
        <w:t xml:space="preserve"> or H</w:t>
      </w:r>
      <w:r w:rsidR="007106A5">
        <w:t xml:space="preserve"> (Graduate Teacher Level 2)</w:t>
      </w:r>
      <w:r w:rsidR="00B46922">
        <w:t xml:space="preserve"> using the role profile that </w:t>
      </w:r>
      <w:r w:rsidR="00BE091F">
        <w:t xml:space="preserve">best </w:t>
      </w:r>
      <w:r w:rsidR="00B46922">
        <w:t xml:space="preserve">meets the </w:t>
      </w:r>
      <w:r w:rsidR="00A9699E">
        <w:t xml:space="preserve">school’s identified </w:t>
      </w:r>
      <w:r w:rsidR="00B46922">
        <w:t>resourcing need.</w:t>
      </w:r>
      <w:r w:rsidR="00B90C70">
        <w:t xml:space="preserve">  </w:t>
      </w:r>
      <w:r w:rsidR="00952E94">
        <w:t xml:space="preserve">It is also possible </w:t>
      </w:r>
      <w:r w:rsidR="00614E8B">
        <w:t xml:space="preserve">for </w:t>
      </w:r>
      <w:r w:rsidR="00952E94">
        <w:t xml:space="preserve">UG students </w:t>
      </w:r>
      <w:r w:rsidR="00614E8B">
        <w:t xml:space="preserve">to be employed </w:t>
      </w:r>
      <w:r w:rsidR="00952E94">
        <w:t xml:space="preserve">into a role where they are in the final year of </w:t>
      </w:r>
      <w:r>
        <w:t>usually a</w:t>
      </w:r>
      <w:r w:rsidR="00952E94">
        <w:t xml:space="preserve"> 4</w:t>
      </w:r>
      <w:r>
        <w:t>-</w:t>
      </w:r>
      <w:r w:rsidR="00952E94">
        <w:t xml:space="preserve">year programme. </w:t>
      </w:r>
      <w:r w:rsidR="00B90C70">
        <w:t>The</w:t>
      </w:r>
      <w:r w:rsidR="00B46922">
        <w:t xml:space="preserve"> </w:t>
      </w:r>
      <w:r w:rsidR="00B90C70">
        <w:t xml:space="preserve">terms of a </w:t>
      </w:r>
      <w:r>
        <w:t xml:space="preserve">Teaching Support </w:t>
      </w:r>
      <w:r w:rsidR="00B90C70">
        <w:t xml:space="preserve">contract are different to our main staff contracts.  </w:t>
      </w:r>
    </w:p>
    <w:tbl>
      <w:tblPr>
        <w:tblStyle w:val="GridTable5Dark-Accent1"/>
        <w:tblW w:w="9918" w:type="dxa"/>
        <w:tblLook w:val="04A0" w:firstRow="1" w:lastRow="0" w:firstColumn="1" w:lastColumn="0" w:noHBand="0" w:noVBand="1"/>
      </w:tblPr>
      <w:tblGrid>
        <w:gridCol w:w="2263"/>
        <w:gridCol w:w="7655"/>
      </w:tblGrid>
      <w:tr w:rsidR="00B90C70" w14:paraId="49798660" w14:textId="77777777" w:rsidTr="00325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ED1607C" w14:textId="77777777" w:rsidR="00B90C70" w:rsidRDefault="00B90C70" w:rsidP="00325BD1">
            <w:pPr>
              <w:spacing w:line="360" w:lineRule="auto"/>
            </w:pPr>
            <w:r>
              <w:t>Issue</w:t>
            </w:r>
          </w:p>
        </w:tc>
        <w:tc>
          <w:tcPr>
            <w:tcW w:w="7655" w:type="dxa"/>
          </w:tcPr>
          <w:p w14:paraId="216F64C4" w14:textId="7DA7C438" w:rsidR="00B90C70" w:rsidRDefault="00B90C70" w:rsidP="00325BD1">
            <w:pPr>
              <w:spacing w:line="360" w:lineRule="auto"/>
              <w:cnfStyle w:val="100000000000" w:firstRow="1" w:lastRow="0" w:firstColumn="0" w:lastColumn="0" w:oddVBand="0" w:evenVBand="0" w:oddHBand="0" w:evenHBand="0" w:firstRowFirstColumn="0" w:firstRowLastColumn="0" w:lastRowFirstColumn="0" w:lastRowLastColumn="0"/>
            </w:pPr>
            <w:r>
              <w:t>Teach</w:t>
            </w:r>
            <w:r w:rsidR="00C95C92">
              <w:t>ing Support Staff</w:t>
            </w:r>
          </w:p>
        </w:tc>
      </w:tr>
      <w:tr w:rsidR="00B90C70" w14:paraId="5A46B2C4"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24DC2D" w14:textId="77777777" w:rsidR="00B90C70" w:rsidRDefault="00B90C70" w:rsidP="00325BD1">
            <w:pPr>
              <w:spacing w:line="360" w:lineRule="auto"/>
            </w:pPr>
            <w:r>
              <w:t>Salary</w:t>
            </w:r>
          </w:p>
        </w:tc>
        <w:tc>
          <w:tcPr>
            <w:tcW w:w="7655" w:type="dxa"/>
          </w:tcPr>
          <w:p w14:paraId="5F1F993D" w14:textId="77777777" w:rsidR="00B90C70" w:rsidRDefault="00B90C70" w:rsidP="00325BD1">
            <w:pPr>
              <w:spacing w:line="360" w:lineRule="auto"/>
              <w:cnfStyle w:val="000000100000" w:firstRow="0" w:lastRow="0" w:firstColumn="0" w:lastColumn="0" w:oddVBand="0" w:evenVBand="0" w:oddHBand="1" w:evenHBand="0" w:firstRowFirstColumn="0" w:firstRowLastColumn="0" w:lastRowFirstColumn="0" w:lastRowLastColumn="0"/>
            </w:pPr>
            <w:r>
              <w:t>Are appointed on the middle spine point of the relevant grade.</w:t>
            </w:r>
          </w:p>
        </w:tc>
      </w:tr>
      <w:tr w:rsidR="00B90C70" w14:paraId="5BCAF092" w14:textId="77777777" w:rsidTr="00325BD1">
        <w:tc>
          <w:tcPr>
            <w:cnfStyle w:val="001000000000" w:firstRow="0" w:lastRow="0" w:firstColumn="1" w:lastColumn="0" w:oddVBand="0" w:evenVBand="0" w:oddHBand="0" w:evenHBand="0" w:firstRowFirstColumn="0" w:firstRowLastColumn="0" w:lastRowFirstColumn="0" w:lastRowLastColumn="0"/>
            <w:tcW w:w="2263" w:type="dxa"/>
          </w:tcPr>
          <w:p w14:paraId="654501D6" w14:textId="77777777" w:rsidR="00B90C70" w:rsidRDefault="00B90C70" w:rsidP="00325BD1">
            <w:pPr>
              <w:spacing w:line="360" w:lineRule="auto"/>
            </w:pPr>
            <w:r>
              <w:t>Salary Progression</w:t>
            </w:r>
          </w:p>
        </w:tc>
        <w:tc>
          <w:tcPr>
            <w:tcW w:w="7655" w:type="dxa"/>
          </w:tcPr>
          <w:p w14:paraId="23645984" w14:textId="7DC1EB0D" w:rsidR="00B90C70" w:rsidRDefault="00F1571A" w:rsidP="00325BD1">
            <w:pPr>
              <w:spacing w:line="360" w:lineRule="auto"/>
              <w:cnfStyle w:val="000000000000" w:firstRow="0" w:lastRow="0" w:firstColumn="0" w:lastColumn="0" w:oddVBand="0" w:evenVBand="0" w:oddHBand="0" w:evenHBand="0" w:firstRowFirstColumn="0" w:firstRowLastColumn="0" w:lastRowFirstColumn="0" w:lastRowLastColumn="0"/>
            </w:pPr>
            <w:r>
              <w:t>May p</w:t>
            </w:r>
            <w:r w:rsidR="00B90C70">
              <w:t>rogress from grade G to grade H on successful completion of one-years’ service</w:t>
            </w:r>
            <w:r>
              <w:t xml:space="preserve"> </w:t>
            </w:r>
            <w:r w:rsidRPr="00A9699E">
              <w:rPr>
                <w:b/>
                <w:bCs/>
              </w:rPr>
              <w:t>if</w:t>
            </w:r>
            <w:r>
              <w:t xml:space="preserve"> the teaching support required needs to be delivered at a higher level</w:t>
            </w:r>
            <w:r w:rsidR="005C0758">
              <w:t xml:space="preserve"> in year 2</w:t>
            </w:r>
            <w:r w:rsidR="00B90C70">
              <w:t>.</w:t>
            </w:r>
          </w:p>
        </w:tc>
      </w:tr>
      <w:tr w:rsidR="00B90C70" w14:paraId="0D85A4BD"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37C0628" w14:textId="77777777" w:rsidR="00B90C70" w:rsidRDefault="00B90C70" w:rsidP="00325BD1">
            <w:pPr>
              <w:spacing w:line="360" w:lineRule="auto"/>
            </w:pPr>
            <w:r>
              <w:t>Monthly pay</w:t>
            </w:r>
          </w:p>
        </w:tc>
        <w:tc>
          <w:tcPr>
            <w:tcW w:w="7655" w:type="dxa"/>
          </w:tcPr>
          <w:p w14:paraId="1804DC57" w14:textId="77777777" w:rsidR="00B90C70" w:rsidRDefault="00B90C70" w:rsidP="00325BD1">
            <w:pPr>
              <w:spacing w:line="360" w:lineRule="auto"/>
              <w:cnfStyle w:val="000000100000" w:firstRow="0" w:lastRow="0" w:firstColumn="0" w:lastColumn="0" w:oddVBand="0" w:evenVBand="0" w:oddHBand="1" w:evenHBand="0" w:firstRowFirstColumn="0" w:firstRowLastColumn="0" w:lastRowFirstColumn="0" w:lastRowLastColumn="0"/>
            </w:pPr>
            <w:r>
              <w:t xml:space="preserve">Must complete a claim form </w:t>
            </w:r>
            <w:proofErr w:type="gramStart"/>
            <w:r>
              <w:t>on a monthly basis</w:t>
            </w:r>
            <w:proofErr w:type="gramEnd"/>
            <w:r>
              <w:t xml:space="preserve"> and are paid each month for actual hours worked.</w:t>
            </w:r>
          </w:p>
        </w:tc>
      </w:tr>
      <w:tr w:rsidR="00B90C70" w14:paraId="1EE6C541" w14:textId="77777777" w:rsidTr="00325BD1">
        <w:tc>
          <w:tcPr>
            <w:cnfStyle w:val="001000000000" w:firstRow="0" w:lastRow="0" w:firstColumn="1" w:lastColumn="0" w:oddVBand="0" w:evenVBand="0" w:oddHBand="0" w:evenHBand="0" w:firstRowFirstColumn="0" w:firstRowLastColumn="0" w:lastRowFirstColumn="0" w:lastRowLastColumn="0"/>
            <w:tcW w:w="2263" w:type="dxa"/>
          </w:tcPr>
          <w:p w14:paraId="5B0DA3CD" w14:textId="77777777" w:rsidR="00B90C70" w:rsidRDefault="00B90C70" w:rsidP="00325BD1">
            <w:pPr>
              <w:spacing w:line="360" w:lineRule="auto"/>
            </w:pPr>
            <w:r>
              <w:t>Annual Leave</w:t>
            </w:r>
          </w:p>
        </w:tc>
        <w:tc>
          <w:tcPr>
            <w:tcW w:w="7655" w:type="dxa"/>
          </w:tcPr>
          <w:p w14:paraId="3551D1B4" w14:textId="47B59BD5" w:rsidR="00B90C70" w:rsidRDefault="00520D6F" w:rsidP="00325BD1">
            <w:pPr>
              <w:spacing w:line="360" w:lineRule="auto"/>
              <w:cnfStyle w:val="000000000000" w:firstRow="0" w:lastRow="0" w:firstColumn="0" w:lastColumn="0" w:oddVBand="0" w:evenVBand="0" w:oddHBand="0" w:evenHBand="0" w:firstRowFirstColumn="0" w:firstRowLastColumn="0" w:lastRowFirstColumn="0" w:lastRowLastColumn="0"/>
            </w:pPr>
            <w:r>
              <w:t>Are e</w:t>
            </w:r>
            <w:r w:rsidR="00B90C70">
              <w:t xml:space="preserve">ntitled to the equivalent of 28 days annual leave per year, </w:t>
            </w:r>
            <w:r>
              <w:t xml:space="preserve">which </w:t>
            </w:r>
            <w:r w:rsidR="00B90C70">
              <w:t>accrues at a rate of 12.07% of total hours worked</w:t>
            </w:r>
            <w:r>
              <w:t xml:space="preserve"> and i</w:t>
            </w:r>
            <w:r w:rsidR="00B90C70">
              <w:t>ncludes allowance for bank holiday entitlement.</w:t>
            </w:r>
          </w:p>
        </w:tc>
      </w:tr>
      <w:tr w:rsidR="00B90C70" w14:paraId="48771256"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62A0072" w14:textId="77777777" w:rsidR="00B90C70" w:rsidRDefault="00B90C70" w:rsidP="00325BD1">
            <w:pPr>
              <w:spacing w:line="360" w:lineRule="auto"/>
            </w:pPr>
            <w:r>
              <w:t>Pension</w:t>
            </w:r>
          </w:p>
        </w:tc>
        <w:tc>
          <w:tcPr>
            <w:tcW w:w="7655" w:type="dxa"/>
          </w:tcPr>
          <w:p w14:paraId="645FC0DF" w14:textId="6A48EC69" w:rsidR="00B90C70" w:rsidRDefault="00520D6F" w:rsidP="00325BD1">
            <w:pPr>
              <w:spacing w:line="360" w:lineRule="auto"/>
              <w:cnfStyle w:val="000000100000" w:firstRow="0" w:lastRow="0" w:firstColumn="0" w:lastColumn="0" w:oddVBand="0" w:evenVBand="0" w:oddHBand="1" w:evenHBand="0" w:firstRowFirstColumn="0" w:firstRowLastColumn="0" w:lastRowFirstColumn="0" w:lastRowLastColumn="0"/>
            </w:pPr>
            <w:r>
              <w:t>Are e</w:t>
            </w:r>
            <w:r w:rsidR="00B90C70">
              <w:t>ligible to join the UBGPP pension scheme.</w:t>
            </w:r>
          </w:p>
        </w:tc>
      </w:tr>
      <w:tr w:rsidR="00B90C70" w14:paraId="45A1085B" w14:textId="77777777" w:rsidTr="00325BD1">
        <w:tc>
          <w:tcPr>
            <w:cnfStyle w:val="001000000000" w:firstRow="0" w:lastRow="0" w:firstColumn="1" w:lastColumn="0" w:oddVBand="0" w:evenVBand="0" w:oddHBand="0" w:evenHBand="0" w:firstRowFirstColumn="0" w:firstRowLastColumn="0" w:lastRowFirstColumn="0" w:lastRowLastColumn="0"/>
            <w:tcW w:w="2263" w:type="dxa"/>
          </w:tcPr>
          <w:p w14:paraId="1B075997" w14:textId="77777777" w:rsidR="00B90C70" w:rsidRDefault="00B90C70" w:rsidP="00325BD1">
            <w:pPr>
              <w:spacing w:line="360" w:lineRule="auto"/>
            </w:pPr>
            <w:r>
              <w:lastRenderedPageBreak/>
              <w:t>Sick Pay</w:t>
            </w:r>
          </w:p>
        </w:tc>
        <w:tc>
          <w:tcPr>
            <w:tcW w:w="7655" w:type="dxa"/>
          </w:tcPr>
          <w:p w14:paraId="0404C25C" w14:textId="2642B57A" w:rsidR="00B90C70" w:rsidRDefault="00520D6F" w:rsidP="00325BD1">
            <w:pPr>
              <w:spacing w:line="360" w:lineRule="auto"/>
              <w:cnfStyle w:val="000000000000" w:firstRow="0" w:lastRow="0" w:firstColumn="0" w:lastColumn="0" w:oddVBand="0" w:evenVBand="0" w:oddHBand="0" w:evenHBand="0" w:firstRowFirstColumn="0" w:firstRowLastColumn="0" w:lastRowFirstColumn="0" w:lastRowLastColumn="0"/>
            </w:pPr>
            <w:r>
              <w:t>Are e</w:t>
            </w:r>
            <w:r w:rsidR="00B90C70">
              <w:t>ntitle</w:t>
            </w:r>
            <w:r>
              <w:t xml:space="preserve">d </w:t>
            </w:r>
            <w:r w:rsidR="00B90C70">
              <w:t>to occupational sick pay depend</w:t>
            </w:r>
            <w:r>
              <w:t>ing</w:t>
            </w:r>
            <w:r w:rsidR="00B90C70">
              <w:t xml:space="preserve"> on length of service up to a possible maximum of 2 months’ pay.  Sick pay</w:t>
            </w:r>
            <w:r>
              <w:t xml:space="preserve"> is</w:t>
            </w:r>
            <w:r w:rsidR="00B90C70">
              <w:t xml:space="preserve"> calculated based on 1/12</w:t>
            </w:r>
            <w:r w:rsidR="00B90C70" w:rsidRPr="005E298B">
              <w:rPr>
                <w:vertAlign w:val="superscript"/>
              </w:rPr>
              <w:t>th</w:t>
            </w:r>
            <w:r w:rsidR="00B90C70">
              <w:t xml:space="preserve"> of contracted hours.</w:t>
            </w:r>
          </w:p>
        </w:tc>
      </w:tr>
      <w:tr w:rsidR="00B90C70" w14:paraId="3B3CBD56"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4DCA6918" w14:textId="77777777" w:rsidR="00B90C70" w:rsidRDefault="00B90C70" w:rsidP="00325BD1">
            <w:pPr>
              <w:spacing w:line="360" w:lineRule="auto"/>
            </w:pPr>
            <w:r>
              <w:t>Redundancy</w:t>
            </w:r>
          </w:p>
        </w:tc>
        <w:tc>
          <w:tcPr>
            <w:tcW w:w="7655" w:type="dxa"/>
          </w:tcPr>
          <w:p w14:paraId="692E95FB" w14:textId="3467847D" w:rsidR="00B90C70" w:rsidRDefault="00520D6F" w:rsidP="00325BD1">
            <w:pPr>
              <w:spacing w:line="360" w:lineRule="auto"/>
              <w:cnfStyle w:val="000000100000" w:firstRow="0" w:lastRow="0" w:firstColumn="0" w:lastColumn="0" w:oddVBand="0" w:evenVBand="0" w:oddHBand="1" w:evenHBand="0" w:firstRowFirstColumn="0" w:firstRowLastColumn="0" w:lastRowFirstColumn="0" w:lastRowLastColumn="0"/>
            </w:pPr>
            <w:r>
              <w:t xml:space="preserve">Are not </w:t>
            </w:r>
            <w:r w:rsidR="00B90C70">
              <w:t>entitle</w:t>
            </w:r>
            <w:r>
              <w:t>d to redundancy pay</w:t>
            </w:r>
            <w:r w:rsidR="00B90C70">
              <w:t>.</w:t>
            </w:r>
          </w:p>
        </w:tc>
      </w:tr>
      <w:tr w:rsidR="00B90C70" w14:paraId="5486E8B2" w14:textId="77777777" w:rsidTr="00325BD1">
        <w:tc>
          <w:tcPr>
            <w:cnfStyle w:val="001000000000" w:firstRow="0" w:lastRow="0" w:firstColumn="1" w:lastColumn="0" w:oddVBand="0" w:evenVBand="0" w:oddHBand="0" w:evenHBand="0" w:firstRowFirstColumn="0" w:firstRowLastColumn="0" w:lastRowFirstColumn="0" w:lastRowLastColumn="0"/>
            <w:tcW w:w="2263" w:type="dxa"/>
          </w:tcPr>
          <w:p w14:paraId="24386F73" w14:textId="77777777" w:rsidR="00B90C70" w:rsidRDefault="00B90C70" w:rsidP="00325BD1">
            <w:pPr>
              <w:spacing w:line="360" w:lineRule="auto"/>
            </w:pPr>
            <w:r>
              <w:t>Maternity, paternity, adoption, shared parental leave</w:t>
            </w:r>
          </w:p>
        </w:tc>
        <w:tc>
          <w:tcPr>
            <w:tcW w:w="7655" w:type="dxa"/>
          </w:tcPr>
          <w:p w14:paraId="1BFECDFD" w14:textId="67D8002A" w:rsidR="00B90C70" w:rsidRDefault="00520D6F" w:rsidP="00325BD1">
            <w:pPr>
              <w:spacing w:line="360" w:lineRule="auto"/>
              <w:cnfStyle w:val="000000000000" w:firstRow="0" w:lastRow="0" w:firstColumn="0" w:lastColumn="0" w:oddVBand="0" w:evenVBand="0" w:oddHBand="0" w:evenHBand="0" w:firstRowFirstColumn="0" w:firstRowLastColumn="0" w:lastRowFirstColumn="0" w:lastRowLastColumn="0"/>
            </w:pPr>
            <w:r>
              <w:t>May</w:t>
            </w:r>
            <w:r w:rsidR="007106A5">
              <w:t xml:space="preserve"> </w:t>
            </w:r>
            <w:r>
              <w:t>be e</w:t>
            </w:r>
            <w:r w:rsidR="00B90C70">
              <w:t>ntitle</w:t>
            </w:r>
            <w:r>
              <w:t>d</w:t>
            </w:r>
            <w:r w:rsidR="00B90C70">
              <w:t xml:space="preserve"> in accordance with </w:t>
            </w:r>
            <w:proofErr w:type="gramStart"/>
            <w:r w:rsidR="00B90C70">
              <w:t>University</w:t>
            </w:r>
            <w:proofErr w:type="gramEnd"/>
            <w:r w:rsidR="00B90C70">
              <w:t xml:space="preserve"> schemes</w:t>
            </w:r>
            <w:r w:rsidR="00A458F1">
              <w:t xml:space="preserve"> and details can be found here: </w:t>
            </w:r>
          </w:p>
          <w:p w14:paraId="24185523" w14:textId="337017BC" w:rsidR="00A458F1" w:rsidRDefault="001A521B" w:rsidP="00325BD1">
            <w:pPr>
              <w:spacing w:line="360" w:lineRule="auto"/>
              <w:cnfStyle w:val="000000000000" w:firstRow="0" w:lastRow="0" w:firstColumn="0" w:lastColumn="0" w:oddVBand="0" w:evenVBand="0" w:oddHBand="0" w:evenHBand="0" w:firstRowFirstColumn="0" w:firstRowLastColumn="0" w:lastRowFirstColumn="0" w:lastRowLastColumn="0"/>
            </w:pPr>
            <w:hyperlink r:id="rId8" w:anchor="hr_and_people_development/work-life_balance/home_and_family" w:history="1">
              <w:r w:rsidR="00A458F1">
                <w:rPr>
                  <w:rStyle w:val="Hyperlink"/>
                </w:rPr>
                <w:t>Knowledge Hub (sharepoint.com)</w:t>
              </w:r>
            </w:hyperlink>
          </w:p>
        </w:tc>
      </w:tr>
      <w:tr w:rsidR="00B90C70" w14:paraId="61BE8DC0"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99CB5B" w14:textId="77777777" w:rsidR="00B90C70" w:rsidRDefault="00B90C70" w:rsidP="00325BD1">
            <w:pPr>
              <w:spacing w:line="360" w:lineRule="auto"/>
            </w:pPr>
            <w:r>
              <w:t>Wellbeing</w:t>
            </w:r>
          </w:p>
        </w:tc>
        <w:tc>
          <w:tcPr>
            <w:tcW w:w="7655" w:type="dxa"/>
          </w:tcPr>
          <w:p w14:paraId="651B41F7" w14:textId="4CE6F507" w:rsidR="00B90C70" w:rsidRDefault="00B90C70" w:rsidP="00325BD1">
            <w:pPr>
              <w:spacing w:line="360" w:lineRule="auto"/>
              <w:cnfStyle w:val="000000100000" w:firstRow="0" w:lastRow="0" w:firstColumn="0" w:lastColumn="0" w:oddVBand="0" w:evenVBand="0" w:oddHBand="1" w:evenHBand="0" w:firstRowFirstColumn="0" w:firstRowLastColumn="0" w:lastRowFirstColumn="0" w:lastRowLastColumn="0"/>
            </w:pPr>
            <w:r>
              <w:t>Ha</w:t>
            </w:r>
            <w:r w:rsidR="00520D6F">
              <w:t>ve</w:t>
            </w:r>
            <w:r>
              <w:t xml:space="preserve"> access to both student and staff wellbeing services and initiatives.</w:t>
            </w:r>
          </w:p>
        </w:tc>
      </w:tr>
      <w:tr w:rsidR="001A521B" w14:paraId="239CDA24" w14:textId="77777777" w:rsidTr="001A521B">
        <w:tc>
          <w:tcPr>
            <w:cnfStyle w:val="001000000000" w:firstRow="0" w:lastRow="0" w:firstColumn="1" w:lastColumn="0" w:oddVBand="0" w:evenVBand="0" w:oddHBand="0" w:evenHBand="0" w:firstRowFirstColumn="0" w:firstRowLastColumn="0" w:lastRowFirstColumn="0" w:lastRowLastColumn="0"/>
            <w:tcW w:w="2263" w:type="dxa"/>
          </w:tcPr>
          <w:p w14:paraId="46F9E842" w14:textId="25BB980D" w:rsidR="001A521B" w:rsidRDefault="001A521B" w:rsidP="00D7531E">
            <w:pPr>
              <w:spacing w:line="360" w:lineRule="auto"/>
            </w:pPr>
            <w:r>
              <w:t>Travel overseas</w:t>
            </w:r>
          </w:p>
        </w:tc>
        <w:tc>
          <w:tcPr>
            <w:tcW w:w="7655" w:type="dxa"/>
          </w:tcPr>
          <w:p w14:paraId="2654F08B" w14:textId="69E99D89" w:rsidR="001A521B" w:rsidRDefault="001A521B" w:rsidP="00D7531E">
            <w:pPr>
              <w:spacing w:line="360" w:lineRule="auto"/>
              <w:cnfStyle w:val="000000000000" w:firstRow="0" w:lastRow="0" w:firstColumn="0" w:lastColumn="0" w:oddVBand="0" w:evenVBand="0" w:oddHBand="0" w:evenHBand="0" w:firstRowFirstColumn="0" w:firstRowLastColumn="0" w:lastRowFirstColumn="0" w:lastRowLastColumn="0"/>
            </w:pPr>
            <w:r>
              <w:t>All hours worked must be whilst present in the UK.</w:t>
            </w:r>
          </w:p>
        </w:tc>
      </w:tr>
    </w:tbl>
    <w:p w14:paraId="6650E39A" w14:textId="77777777" w:rsidR="00B90C70" w:rsidRPr="005C58A7" w:rsidRDefault="00B90C70" w:rsidP="00B90C70">
      <w:pPr>
        <w:spacing w:line="360" w:lineRule="auto"/>
      </w:pPr>
    </w:p>
    <w:p w14:paraId="48387784" w14:textId="56DCB5E3" w:rsidR="00B90C70" w:rsidRDefault="00B90C70" w:rsidP="004710FF">
      <w:pPr>
        <w:pStyle w:val="Heading2"/>
        <w:numPr>
          <w:ilvl w:val="0"/>
          <w:numId w:val="27"/>
        </w:numPr>
        <w:spacing w:line="360" w:lineRule="auto"/>
      </w:pPr>
      <w:bookmarkStart w:id="1" w:name="_Toc31624770"/>
      <w:r>
        <w:t>How is the rate of pay determined?</w:t>
      </w:r>
      <w:bookmarkEnd w:id="1"/>
    </w:p>
    <w:p w14:paraId="7C3E7C5A" w14:textId="4DFBC058" w:rsidR="00B90C70" w:rsidRDefault="00B90C70" w:rsidP="00B90C70">
      <w:pPr>
        <w:spacing w:line="360" w:lineRule="auto"/>
      </w:pPr>
      <w:r>
        <w:t xml:space="preserve">The rate of pay for </w:t>
      </w:r>
      <w:r w:rsidR="00B7713F">
        <w:t>Teaching Support roles</w:t>
      </w:r>
      <w:r>
        <w:t xml:space="preserve"> is </w:t>
      </w:r>
      <w:r w:rsidR="008C2C03">
        <w:t xml:space="preserve">currently set at </w:t>
      </w:r>
      <w:r>
        <w:t xml:space="preserve">the equivalent of </w:t>
      </w:r>
      <w:r w:rsidR="00A9167B">
        <w:t>the</w:t>
      </w:r>
      <w:r w:rsidR="008E2663">
        <w:t xml:space="preserve"> 4</w:t>
      </w:r>
      <w:r w:rsidR="008E2663" w:rsidRPr="008E2663">
        <w:rPr>
          <w:vertAlign w:val="superscript"/>
        </w:rPr>
        <w:t>th</w:t>
      </w:r>
      <w:r w:rsidR="008E2663">
        <w:t xml:space="preserve"> </w:t>
      </w:r>
      <w:r w:rsidR="00A9167B">
        <w:t>spine poi</w:t>
      </w:r>
      <w:r>
        <w:t xml:space="preserve">nt </w:t>
      </w:r>
      <w:r w:rsidR="00C95C92">
        <w:t>o</w:t>
      </w:r>
      <w:r w:rsidR="007106A5">
        <w:t xml:space="preserve">f the appropriate </w:t>
      </w:r>
      <w:r w:rsidR="00C95C92">
        <w:t>Grade</w:t>
      </w:r>
      <w:r>
        <w:t>. The grades have been determined by assessing the role profiles using the University job evaluation scheme</w:t>
      </w:r>
      <w:r w:rsidR="008E2663">
        <w:t xml:space="preserve"> and the hourly rate set to reflect the fact that there is no option for incremental pay progression within the role.</w:t>
      </w:r>
    </w:p>
    <w:p w14:paraId="04358E39" w14:textId="147795CE" w:rsidR="00B90C70" w:rsidRDefault="004710FF" w:rsidP="00744785">
      <w:pPr>
        <w:pStyle w:val="Heading2"/>
        <w:spacing w:line="360" w:lineRule="auto"/>
        <w:ind w:firstLine="357"/>
      </w:pPr>
      <w:bookmarkStart w:id="2" w:name="_Toc31624771"/>
      <w:r>
        <w:t xml:space="preserve">b. </w:t>
      </w:r>
      <w:proofErr w:type="spellStart"/>
      <w:r w:rsidR="00744785">
        <w:t>i</w:t>
      </w:r>
      <w:proofErr w:type="spellEnd"/>
      <w:r w:rsidR="00744785">
        <w:t xml:space="preserve">) </w:t>
      </w:r>
      <w:r w:rsidR="00B90C70">
        <w:t>Working hours</w:t>
      </w:r>
      <w:bookmarkEnd w:id="2"/>
    </w:p>
    <w:p w14:paraId="159DC832" w14:textId="7D9667E9" w:rsidR="00B90C70" w:rsidRDefault="00A9167B" w:rsidP="00B90C70">
      <w:pPr>
        <w:spacing w:line="360" w:lineRule="auto"/>
      </w:pPr>
      <w:proofErr w:type="gramStart"/>
      <w:r>
        <w:t xml:space="preserve">As a member of </w:t>
      </w:r>
      <w:r w:rsidR="00C95C92">
        <w:t>Teaching Support Staff</w:t>
      </w:r>
      <w:r>
        <w:t xml:space="preserve">, your </w:t>
      </w:r>
      <w:r w:rsidR="00B90C70">
        <w:t>contract</w:t>
      </w:r>
      <w:proofErr w:type="gramEnd"/>
      <w:r w:rsidR="00B90C70">
        <w:t xml:space="preserve"> </w:t>
      </w:r>
      <w:r w:rsidR="00952E94">
        <w:t>should</w:t>
      </w:r>
      <w:r w:rsidR="00B90C70">
        <w:t xml:space="preserve"> be for a </w:t>
      </w:r>
      <w:r w:rsidR="00FB6428">
        <w:t xml:space="preserve">stated </w:t>
      </w:r>
      <w:r w:rsidR="00B90C70">
        <w:t xml:space="preserve">minimum </w:t>
      </w:r>
      <w:r w:rsidR="00FB6428">
        <w:t xml:space="preserve">number of </w:t>
      </w:r>
      <w:r w:rsidR="00B90C70" w:rsidRPr="00952E94">
        <w:t>hours</w:t>
      </w:r>
      <w:r w:rsidR="00B90C70">
        <w:t xml:space="preserve"> and </w:t>
      </w:r>
      <w:r w:rsidR="00FB6428">
        <w:t>should be</w:t>
      </w:r>
      <w:r w:rsidR="00B90C70">
        <w:t xml:space="preserve"> limited to a maximum </w:t>
      </w:r>
      <w:r w:rsidR="00952E94">
        <w:t xml:space="preserve">number </w:t>
      </w:r>
      <w:r w:rsidR="00B90C70" w:rsidRPr="00952E94">
        <w:t>of hours per year</w:t>
      </w:r>
      <w:r w:rsidR="007106A5">
        <w:t xml:space="preserve"> designed</w:t>
      </w:r>
      <w:r w:rsidR="00B90C70">
        <w:t xml:space="preserve"> to enable time for </w:t>
      </w:r>
      <w:r>
        <w:t>you</w:t>
      </w:r>
      <w:r w:rsidR="00952E94">
        <w:t xml:space="preserve"> </w:t>
      </w:r>
      <w:r w:rsidR="00B90C70">
        <w:t xml:space="preserve">to complete </w:t>
      </w:r>
      <w:r>
        <w:t>your</w:t>
      </w:r>
      <w:r w:rsidR="00B90C70">
        <w:t xml:space="preserve"> studies.</w:t>
      </w:r>
      <w:r w:rsidR="00952E94">
        <w:t xml:space="preserve"> </w:t>
      </w:r>
      <w:r>
        <w:t>Your</w:t>
      </w:r>
      <w:r w:rsidR="00B90C70">
        <w:t xml:space="preserve"> exact working hours will be determined by the School/Department’s teaching needs, but the calculations should be based on the principles outlined here</w:t>
      </w:r>
      <w:r w:rsidR="00952E94">
        <w:t xml:space="preserve"> </w:t>
      </w:r>
      <w:r w:rsidR="007106A5">
        <w:t>but</w:t>
      </w:r>
      <w:r w:rsidR="00952E94">
        <w:t xml:space="preserve"> be determined locally</w:t>
      </w:r>
      <w:r w:rsidR="007106A5">
        <w:t>. A</w:t>
      </w:r>
      <w:r w:rsidR="00952E94">
        <w:t xml:space="preserve">ll visa compliance conditions must be observed when </w:t>
      </w:r>
      <w:r w:rsidR="007106A5">
        <w:t>accepting a</w:t>
      </w:r>
      <w:r w:rsidR="00952E94">
        <w:t xml:space="preserve"> contract</w:t>
      </w:r>
      <w:r w:rsidR="00B90C70">
        <w:t>.</w:t>
      </w:r>
      <w:r w:rsidR="00BE091F">
        <w:t xml:space="preserve"> Allocated hours should be offered in line with the </w:t>
      </w:r>
      <w:proofErr w:type="gramStart"/>
      <w:r w:rsidR="00BE091F">
        <w:t>School</w:t>
      </w:r>
      <w:proofErr w:type="gramEnd"/>
      <w:r w:rsidR="00BE091F">
        <w:t xml:space="preserve"> workload allocation model for main academic staff.</w:t>
      </w:r>
    </w:p>
    <w:p w14:paraId="6115F570" w14:textId="3315BE2A" w:rsidR="00B90C70" w:rsidRDefault="00B90C70" w:rsidP="00B90C70">
      <w:pPr>
        <w:spacing w:line="360" w:lineRule="auto"/>
      </w:pPr>
      <w:r>
        <w:t xml:space="preserve">The contract will show the total number of hours (which are guaranteed minimum hours), and will </w:t>
      </w:r>
      <w:r w:rsidR="00A9167B">
        <w:t xml:space="preserve">ideally be </w:t>
      </w:r>
      <w:r>
        <w:t>br</w:t>
      </w:r>
      <w:r w:rsidR="00A9167B">
        <w:t>o</w:t>
      </w:r>
      <w:r>
        <w:t>k</w:t>
      </w:r>
      <w:r w:rsidR="00A9167B">
        <w:t>en</w:t>
      </w:r>
      <w:r>
        <w:t xml:space="preserve"> down </w:t>
      </w:r>
      <w:r w:rsidR="00A9167B">
        <w:t xml:space="preserve">where possible </w:t>
      </w:r>
      <w:r>
        <w:t>into hours allocated for:</w:t>
      </w:r>
    </w:p>
    <w:p w14:paraId="2275AA46" w14:textId="2E73FC42" w:rsidR="00B90C70" w:rsidRDefault="00B90C70" w:rsidP="00B90C70">
      <w:pPr>
        <w:pStyle w:val="ListParagraph"/>
        <w:numPr>
          <w:ilvl w:val="0"/>
          <w:numId w:val="5"/>
        </w:numPr>
        <w:spacing w:line="360" w:lineRule="auto"/>
      </w:pPr>
      <w:r>
        <w:t xml:space="preserve">Teaching: direct teaching </w:t>
      </w:r>
      <w:r w:rsidR="005C0758">
        <w:t xml:space="preserve">delivery </w:t>
      </w:r>
      <w:r>
        <w:t xml:space="preserve">time </w:t>
      </w:r>
    </w:p>
    <w:p w14:paraId="1711F814" w14:textId="0E1D55DA" w:rsidR="00B90C70" w:rsidRDefault="00B90C70" w:rsidP="00B90C70">
      <w:pPr>
        <w:pStyle w:val="ListParagraph"/>
        <w:numPr>
          <w:ilvl w:val="0"/>
          <w:numId w:val="5"/>
        </w:numPr>
        <w:spacing w:line="360" w:lineRule="auto"/>
      </w:pPr>
      <w:r>
        <w:t>Preparation: preparation for the start of the course(s)</w:t>
      </w:r>
    </w:p>
    <w:p w14:paraId="2766D708" w14:textId="77777777" w:rsidR="00B90C70" w:rsidRDefault="00B90C70" w:rsidP="00B90C70">
      <w:pPr>
        <w:pStyle w:val="ListParagraph"/>
        <w:numPr>
          <w:ilvl w:val="0"/>
          <w:numId w:val="5"/>
        </w:numPr>
        <w:spacing w:line="360" w:lineRule="auto"/>
      </w:pPr>
      <w:r>
        <w:t xml:space="preserve">Assessment: in ‘plain time’ hours; and </w:t>
      </w:r>
    </w:p>
    <w:p w14:paraId="2F54177D" w14:textId="27EEF89B" w:rsidR="00B90C70" w:rsidRDefault="00B90C70" w:rsidP="00B90C70">
      <w:pPr>
        <w:pStyle w:val="ListParagraph"/>
        <w:numPr>
          <w:ilvl w:val="0"/>
          <w:numId w:val="5"/>
        </w:numPr>
        <w:spacing w:line="360" w:lineRule="auto"/>
      </w:pPr>
      <w:r>
        <w:t>Related Duties: ‘plain time’ hours for all other paid activities</w:t>
      </w:r>
      <w:r w:rsidR="00C95C92">
        <w:t xml:space="preserve"> including mandatory training</w:t>
      </w:r>
      <w:r>
        <w:t xml:space="preserve">.  </w:t>
      </w:r>
    </w:p>
    <w:p w14:paraId="15C41C57" w14:textId="757DD75D" w:rsidR="00744785" w:rsidRDefault="00744785" w:rsidP="00744785">
      <w:pPr>
        <w:spacing w:line="360" w:lineRule="auto"/>
      </w:pPr>
    </w:p>
    <w:p w14:paraId="77BBFFBF" w14:textId="77777777" w:rsidR="00744785" w:rsidRDefault="00744785" w:rsidP="00744785">
      <w:pPr>
        <w:spacing w:line="360" w:lineRule="auto"/>
      </w:pPr>
    </w:p>
    <w:p w14:paraId="63CEBC6D" w14:textId="0D9E7EEA" w:rsidR="00F917C6" w:rsidRPr="000855AE" w:rsidRDefault="004710FF" w:rsidP="00D7767B">
      <w:pPr>
        <w:pStyle w:val="Heading1"/>
        <w:ind w:firstLine="357"/>
        <w:rPr>
          <w:sz w:val="26"/>
          <w:szCs w:val="26"/>
        </w:rPr>
      </w:pPr>
      <w:r>
        <w:rPr>
          <w:sz w:val="26"/>
          <w:szCs w:val="26"/>
          <w:bdr w:val="none" w:sz="0" w:space="0" w:color="auto" w:frame="1"/>
        </w:rPr>
        <w:lastRenderedPageBreak/>
        <w:t xml:space="preserve">b. </w:t>
      </w:r>
      <w:r w:rsidR="00744785">
        <w:rPr>
          <w:sz w:val="26"/>
          <w:szCs w:val="26"/>
          <w:bdr w:val="none" w:sz="0" w:space="0" w:color="auto" w:frame="1"/>
        </w:rPr>
        <w:t>ii</w:t>
      </w:r>
      <w:r w:rsidR="00F917C6" w:rsidRPr="00D037CF">
        <w:rPr>
          <w:sz w:val="26"/>
          <w:szCs w:val="26"/>
          <w:bdr w:val="none" w:sz="0" w:space="0" w:color="auto" w:frame="1"/>
        </w:rPr>
        <w:t>)</w:t>
      </w:r>
      <w:r w:rsidR="00F917C6" w:rsidRPr="000855AE">
        <w:rPr>
          <w:bdr w:val="none" w:sz="0" w:space="0" w:color="auto" w:frame="1"/>
        </w:rPr>
        <w:t> </w:t>
      </w:r>
      <w:r w:rsidR="00F917C6" w:rsidRPr="000855AE">
        <w:rPr>
          <w:sz w:val="26"/>
          <w:szCs w:val="26"/>
          <w:bdr w:val="none" w:sz="0" w:space="0" w:color="auto" w:frame="1"/>
        </w:rPr>
        <w:t>Student</w:t>
      </w:r>
      <w:r w:rsidR="000855AE" w:rsidRPr="000855AE">
        <w:rPr>
          <w:sz w:val="26"/>
          <w:szCs w:val="26"/>
          <w:bdr w:val="none" w:sz="0" w:space="0" w:color="auto" w:frame="1"/>
        </w:rPr>
        <w:t>/</w:t>
      </w:r>
      <w:r w:rsidR="00F917C6" w:rsidRPr="000855AE">
        <w:rPr>
          <w:sz w:val="26"/>
          <w:szCs w:val="26"/>
          <w:bdr w:val="none" w:sz="0" w:space="0" w:color="auto" w:frame="1"/>
        </w:rPr>
        <w:t>Tier 4 visa holders</w:t>
      </w:r>
    </w:p>
    <w:p w14:paraId="0D1F8063" w14:textId="0B98EA07" w:rsidR="00F917C6" w:rsidRDefault="00F917C6" w:rsidP="00F917C6">
      <w:pPr>
        <w:pStyle w:val="xmsonormal"/>
        <w:shd w:val="clear" w:color="auto" w:fill="FFFFFF"/>
        <w:spacing w:before="0" w:beforeAutospacing="0" w:after="0" w:afterAutospacing="0"/>
        <w:rPr>
          <w:rFonts w:ascii="Calibri" w:hAnsi="Calibri" w:cs="Calibri"/>
          <w:b/>
          <w:bCs/>
          <w:color w:val="201F1E"/>
          <w:sz w:val="22"/>
          <w:szCs w:val="22"/>
          <w:u w:val="single"/>
        </w:rPr>
      </w:pPr>
    </w:p>
    <w:p w14:paraId="72E3EFBF" w14:textId="23E36E42" w:rsidR="00F917C6" w:rsidRDefault="00F917C6" w:rsidP="00D037CF">
      <w:pPr>
        <w:pStyle w:val="xmsonormal"/>
        <w:shd w:val="clear" w:color="auto" w:fill="FFFFFF"/>
        <w:spacing w:before="0" w:beforeAutospacing="0" w:after="0" w:afterAutospacing="0" w:line="360" w:lineRule="auto"/>
        <w:rPr>
          <w:rFonts w:ascii="Calibri" w:hAnsi="Calibri" w:cs="Calibri"/>
          <w:b/>
          <w:bCs/>
          <w:color w:val="201F1E"/>
          <w:sz w:val="22"/>
          <w:szCs w:val="22"/>
          <w:u w:val="single"/>
        </w:rPr>
      </w:pPr>
      <w:r>
        <w:rPr>
          <w:rFonts w:ascii="Calibri" w:hAnsi="Calibri" w:cs="Calibri"/>
          <w:b/>
          <w:bCs/>
          <w:color w:val="201F1E"/>
          <w:sz w:val="22"/>
          <w:szCs w:val="22"/>
          <w:u w:val="single"/>
        </w:rPr>
        <w:t>Undergraduate</w:t>
      </w:r>
    </w:p>
    <w:p w14:paraId="18657499" w14:textId="7507C7F2"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333333"/>
          <w:sz w:val="22"/>
          <w:szCs w:val="22"/>
          <w:bdr w:val="none" w:sz="0" w:space="0" w:color="auto" w:frame="1"/>
          <w:shd w:val="clear" w:color="auto" w:fill="FFFFFF"/>
        </w:rPr>
        <w:t xml:space="preserve">Your Biometric Residence Permit (BRP) states </w:t>
      </w:r>
      <w:r w:rsidR="000855AE">
        <w:rPr>
          <w:rFonts w:ascii="Calibri" w:hAnsi="Calibri" w:cs="Calibri"/>
          <w:color w:val="333333"/>
          <w:sz w:val="22"/>
          <w:szCs w:val="22"/>
          <w:bdr w:val="none" w:sz="0" w:space="0" w:color="auto" w:frame="1"/>
          <w:shd w:val="clear" w:color="auto" w:fill="FFFFFF"/>
        </w:rPr>
        <w:t xml:space="preserve">a maximum </w:t>
      </w:r>
      <w:r>
        <w:rPr>
          <w:rFonts w:ascii="Calibri" w:hAnsi="Calibri" w:cs="Calibri"/>
          <w:color w:val="333333"/>
          <w:sz w:val="22"/>
          <w:szCs w:val="22"/>
          <w:bdr w:val="none" w:sz="0" w:space="0" w:color="auto" w:frame="1"/>
          <w:shd w:val="clear" w:color="auto" w:fill="FFFFFF"/>
        </w:rPr>
        <w:t xml:space="preserve">20 hours </w:t>
      </w:r>
      <w:r w:rsidR="000855AE">
        <w:rPr>
          <w:rFonts w:ascii="Calibri" w:hAnsi="Calibri" w:cs="Calibri"/>
          <w:color w:val="333333"/>
          <w:sz w:val="22"/>
          <w:szCs w:val="22"/>
          <w:bdr w:val="none" w:sz="0" w:space="0" w:color="auto" w:frame="1"/>
          <w:shd w:val="clear" w:color="auto" w:fill="FFFFFF"/>
        </w:rPr>
        <w:t xml:space="preserve">may be worked </w:t>
      </w:r>
      <w:r>
        <w:rPr>
          <w:rFonts w:ascii="Calibri" w:hAnsi="Calibri" w:cs="Calibri"/>
          <w:color w:val="333333"/>
          <w:sz w:val="22"/>
          <w:szCs w:val="22"/>
          <w:bdr w:val="none" w:sz="0" w:space="0" w:color="auto" w:frame="1"/>
          <w:shd w:val="clear" w:color="auto" w:fill="FFFFFF"/>
        </w:rPr>
        <w:t>per week, during term-time. Full-time working should only take place during vacation periods within the academic year (and when you have completed your studies). Vacation dates can be found on the </w:t>
      </w:r>
      <w:hyperlink r:id="rId9" w:tgtFrame="_blank" w:history="1">
        <w:r>
          <w:rPr>
            <w:rStyle w:val="Hyperlink"/>
            <w:rFonts w:ascii="Calibri" w:hAnsi="Calibri" w:cs="Calibri"/>
            <w:color w:val="0F7CA4"/>
            <w:sz w:val="22"/>
            <w:szCs w:val="22"/>
            <w:bdr w:val="none" w:sz="0" w:space="0" w:color="auto" w:frame="1"/>
          </w:rPr>
          <w:t>University's key dates page</w:t>
        </w:r>
      </w:hyperlink>
      <w:r>
        <w:rPr>
          <w:rFonts w:ascii="Calibri" w:hAnsi="Calibri" w:cs="Calibri"/>
          <w:color w:val="201F1E"/>
          <w:sz w:val="22"/>
          <w:szCs w:val="22"/>
        </w:rPr>
        <w:t>.</w:t>
      </w:r>
    </w:p>
    <w:p w14:paraId="0736D22D" w14:textId="024F310F"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201F1E"/>
          <w:sz w:val="22"/>
          <w:szCs w:val="22"/>
        </w:rPr>
        <w:t> </w:t>
      </w:r>
    </w:p>
    <w:p w14:paraId="5D29AB7D" w14:textId="2EB9B1FF" w:rsidR="00F917C6" w:rsidRDefault="00744785"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b/>
          <w:bCs/>
          <w:color w:val="201F1E"/>
          <w:sz w:val="22"/>
          <w:szCs w:val="22"/>
          <w:u w:val="single"/>
        </w:rPr>
        <w:t>P</w:t>
      </w:r>
      <w:r w:rsidR="00F917C6">
        <w:rPr>
          <w:rFonts w:ascii="Calibri" w:hAnsi="Calibri" w:cs="Calibri"/>
          <w:b/>
          <w:bCs/>
          <w:color w:val="201F1E"/>
          <w:sz w:val="22"/>
          <w:szCs w:val="22"/>
          <w:u w:val="single"/>
        </w:rPr>
        <w:t>GT</w:t>
      </w:r>
    </w:p>
    <w:p w14:paraId="24BAA061" w14:textId="625D1809"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333333"/>
          <w:sz w:val="22"/>
          <w:szCs w:val="22"/>
          <w:bdr w:val="none" w:sz="0" w:space="0" w:color="auto" w:frame="1"/>
          <w:shd w:val="clear" w:color="auto" w:fill="FFFFFF"/>
        </w:rPr>
        <w:t xml:space="preserve">Your BRP states </w:t>
      </w:r>
      <w:r w:rsidR="000855AE">
        <w:rPr>
          <w:rFonts w:ascii="Calibri" w:hAnsi="Calibri" w:cs="Calibri"/>
          <w:color w:val="333333"/>
          <w:sz w:val="22"/>
          <w:szCs w:val="22"/>
          <w:bdr w:val="none" w:sz="0" w:space="0" w:color="auto" w:frame="1"/>
          <w:shd w:val="clear" w:color="auto" w:fill="FFFFFF"/>
        </w:rPr>
        <w:t xml:space="preserve">a maximum of </w:t>
      </w:r>
      <w:r>
        <w:rPr>
          <w:rFonts w:ascii="Calibri" w:hAnsi="Calibri" w:cs="Calibri"/>
          <w:color w:val="333333"/>
          <w:sz w:val="22"/>
          <w:szCs w:val="22"/>
          <w:bdr w:val="none" w:sz="0" w:space="0" w:color="auto" w:frame="1"/>
          <w:shd w:val="clear" w:color="auto" w:fill="FFFFFF"/>
        </w:rPr>
        <w:t xml:space="preserve">20 hours </w:t>
      </w:r>
      <w:r w:rsidR="000855AE">
        <w:rPr>
          <w:rFonts w:ascii="Calibri" w:hAnsi="Calibri" w:cs="Calibri"/>
          <w:color w:val="333333"/>
          <w:sz w:val="22"/>
          <w:szCs w:val="22"/>
          <w:bdr w:val="none" w:sz="0" w:space="0" w:color="auto" w:frame="1"/>
          <w:shd w:val="clear" w:color="auto" w:fill="FFFFFF"/>
        </w:rPr>
        <w:t xml:space="preserve">may be worked </w:t>
      </w:r>
      <w:r>
        <w:rPr>
          <w:rFonts w:ascii="Calibri" w:hAnsi="Calibri" w:cs="Calibri"/>
          <w:color w:val="333333"/>
          <w:sz w:val="22"/>
          <w:szCs w:val="22"/>
          <w:bdr w:val="none" w:sz="0" w:space="0" w:color="auto" w:frame="1"/>
          <w:shd w:val="clear" w:color="auto" w:fill="FFFFFF"/>
        </w:rPr>
        <w:t>per week, as per UKVI, during term-time. Full-time working should only take place during vacation periods within the academic year and then not until your dissertation has been submitted and not before your official study end date</w:t>
      </w:r>
      <w:r w:rsidR="000855AE">
        <w:rPr>
          <w:rFonts w:ascii="Calibri" w:hAnsi="Calibri" w:cs="Calibri"/>
          <w:color w:val="333333"/>
          <w:sz w:val="22"/>
          <w:szCs w:val="22"/>
          <w:bdr w:val="none" w:sz="0" w:space="0" w:color="auto" w:frame="1"/>
          <w:shd w:val="clear" w:color="auto" w:fill="FFFFFF"/>
        </w:rPr>
        <w:t xml:space="preserve">. This </w:t>
      </w:r>
      <w:r>
        <w:rPr>
          <w:rFonts w:ascii="Calibri" w:hAnsi="Calibri" w:cs="Calibri"/>
          <w:color w:val="333333"/>
          <w:sz w:val="22"/>
          <w:szCs w:val="22"/>
          <w:bdr w:val="none" w:sz="0" w:space="0" w:color="auto" w:frame="1"/>
          <w:shd w:val="clear" w:color="auto" w:fill="FFFFFF"/>
        </w:rPr>
        <w:t>therefore</w:t>
      </w:r>
      <w:r w:rsidR="000855AE">
        <w:rPr>
          <w:rFonts w:ascii="Calibri" w:hAnsi="Calibri" w:cs="Calibri"/>
          <w:color w:val="333333"/>
          <w:sz w:val="22"/>
          <w:szCs w:val="22"/>
          <w:bdr w:val="none" w:sz="0" w:space="0" w:color="auto" w:frame="1"/>
          <w:shd w:val="clear" w:color="auto" w:fill="FFFFFF"/>
        </w:rPr>
        <w:t xml:space="preserve"> means </w:t>
      </w:r>
      <w:r>
        <w:rPr>
          <w:rFonts w:ascii="Calibri" w:hAnsi="Calibri" w:cs="Calibri"/>
          <w:color w:val="333333"/>
          <w:sz w:val="22"/>
          <w:szCs w:val="22"/>
          <w:bdr w:val="none" w:sz="0" w:space="0" w:color="auto" w:frame="1"/>
          <w:shd w:val="clear" w:color="auto" w:fill="FFFFFF"/>
        </w:rPr>
        <w:t>no full-time working over summer. Please see your CAS for your official study end date. Full-time working is permitted following completion of your studies, this means you can work full-time after your CAS course end date or after submission, whichever is later. </w:t>
      </w:r>
      <w:r>
        <w:rPr>
          <w:rFonts w:ascii="Calibri" w:hAnsi="Calibri" w:cs="Calibri"/>
          <w:color w:val="333333"/>
          <w:sz w:val="22"/>
          <w:szCs w:val="22"/>
          <w:bdr w:val="none" w:sz="0" w:space="0" w:color="auto" w:frame="1"/>
        </w:rPr>
        <w:t>Vacation dates can be found on the </w:t>
      </w:r>
      <w:hyperlink r:id="rId10" w:tgtFrame="_blank" w:history="1">
        <w:r>
          <w:rPr>
            <w:rStyle w:val="Hyperlink"/>
            <w:rFonts w:ascii="Calibri" w:hAnsi="Calibri" w:cs="Calibri"/>
            <w:color w:val="0F7CA4"/>
            <w:sz w:val="22"/>
            <w:szCs w:val="22"/>
            <w:bdr w:val="none" w:sz="0" w:space="0" w:color="auto" w:frame="1"/>
          </w:rPr>
          <w:t>University's key dates page</w:t>
        </w:r>
      </w:hyperlink>
      <w:r>
        <w:rPr>
          <w:rFonts w:ascii="Calibri" w:hAnsi="Calibri" w:cs="Calibri"/>
          <w:color w:val="201F1E"/>
          <w:sz w:val="22"/>
          <w:szCs w:val="22"/>
        </w:rPr>
        <w:t>.</w:t>
      </w:r>
    </w:p>
    <w:p w14:paraId="26A77285" w14:textId="77777777"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b/>
          <w:bCs/>
          <w:color w:val="201F1E"/>
          <w:sz w:val="22"/>
          <w:szCs w:val="22"/>
        </w:rPr>
        <w:t> </w:t>
      </w:r>
    </w:p>
    <w:p w14:paraId="00E12486" w14:textId="77777777"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b/>
          <w:bCs/>
          <w:color w:val="201F1E"/>
          <w:sz w:val="22"/>
          <w:szCs w:val="22"/>
          <w:u w:val="single"/>
        </w:rPr>
        <w:t>PGR</w:t>
      </w:r>
    </w:p>
    <w:p w14:paraId="16752E2F" w14:textId="60C6F901" w:rsidR="00F917C6" w:rsidRDefault="00F917C6" w:rsidP="00D037CF">
      <w:pPr>
        <w:pStyle w:val="xmsonormal"/>
        <w:shd w:val="clear" w:color="auto" w:fill="FFFFFF"/>
        <w:spacing w:before="0" w:beforeAutospacing="0" w:after="0" w:afterAutospacing="0" w:line="360" w:lineRule="auto"/>
        <w:rPr>
          <w:rFonts w:ascii="Calibri" w:hAnsi="Calibri" w:cs="Calibri"/>
          <w:color w:val="201F1E"/>
          <w:sz w:val="22"/>
          <w:szCs w:val="22"/>
        </w:rPr>
      </w:pPr>
      <w:r>
        <w:rPr>
          <w:rFonts w:ascii="Calibri" w:hAnsi="Calibri" w:cs="Calibri"/>
          <w:color w:val="333333"/>
          <w:sz w:val="22"/>
          <w:szCs w:val="22"/>
          <w:bdr w:val="none" w:sz="0" w:space="0" w:color="auto" w:frame="1"/>
          <w:shd w:val="clear" w:color="auto" w:fill="FFFFFF"/>
        </w:rPr>
        <w:t xml:space="preserve">Your BRP states </w:t>
      </w:r>
      <w:r w:rsidR="000855AE">
        <w:rPr>
          <w:rFonts w:ascii="Calibri" w:hAnsi="Calibri" w:cs="Calibri"/>
          <w:color w:val="333333"/>
          <w:sz w:val="22"/>
          <w:szCs w:val="22"/>
          <w:bdr w:val="none" w:sz="0" w:space="0" w:color="auto" w:frame="1"/>
          <w:shd w:val="clear" w:color="auto" w:fill="FFFFFF"/>
        </w:rPr>
        <w:t xml:space="preserve">a maximum of </w:t>
      </w:r>
      <w:r>
        <w:rPr>
          <w:rFonts w:ascii="Calibri" w:hAnsi="Calibri" w:cs="Calibri"/>
          <w:color w:val="333333"/>
          <w:sz w:val="22"/>
          <w:szCs w:val="22"/>
          <w:bdr w:val="none" w:sz="0" w:space="0" w:color="auto" w:frame="1"/>
          <w:shd w:val="clear" w:color="auto" w:fill="FFFFFF"/>
        </w:rPr>
        <w:t xml:space="preserve">20 hours </w:t>
      </w:r>
      <w:r w:rsidR="000855AE">
        <w:rPr>
          <w:rFonts w:ascii="Calibri" w:hAnsi="Calibri" w:cs="Calibri"/>
          <w:color w:val="333333"/>
          <w:sz w:val="22"/>
          <w:szCs w:val="22"/>
          <w:bdr w:val="none" w:sz="0" w:space="0" w:color="auto" w:frame="1"/>
          <w:shd w:val="clear" w:color="auto" w:fill="FFFFFF"/>
        </w:rPr>
        <w:t xml:space="preserve">may be worked </w:t>
      </w:r>
      <w:r>
        <w:rPr>
          <w:rFonts w:ascii="Calibri" w:hAnsi="Calibri" w:cs="Calibri"/>
          <w:color w:val="333333"/>
          <w:sz w:val="22"/>
          <w:szCs w:val="22"/>
          <w:bdr w:val="none" w:sz="0" w:space="0" w:color="auto" w:frame="1"/>
          <w:shd w:val="clear" w:color="auto" w:fill="FFFFFF"/>
        </w:rPr>
        <w:t>per week, as per UKVI, during term-time. PGR students' holiday entitlement is explained on </w:t>
      </w:r>
      <w:hyperlink r:id="rId11" w:tgtFrame="_blank" w:history="1">
        <w:r>
          <w:rPr>
            <w:rStyle w:val="Hyperlink"/>
            <w:rFonts w:ascii="Calibri" w:hAnsi="Calibri" w:cs="Calibri"/>
            <w:color w:val="0F7CA4"/>
            <w:sz w:val="22"/>
            <w:szCs w:val="22"/>
            <w:bdr w:val="none" w:sz="0" w:space="0" w:color="auto" w:frame="1"/>
          </w:rPr>
          <w:t>this University webpage</w:t>
        </w:r>
      </w:hyperlink>
      <w:r>
        <w:rPr>
          <w:rFonts w:ascii="Calibri" w:hAnsi="Calibri" w:cs="Calibri"/>
          <w:color w:val="333333"/>
          <w:sz w:val="22"/>
          <w:szCs w:val="22"/>
          <w:bdr w:val="none" w:sz="0" w:space="0" w:color="auto" w:frame="1"/>
          <w:shd w:val="clear" w:color="auto" w:fill="FFFFFF"/>
        </w:rPr>
        <w:t>. Extended Christmas, Easter and Summer holidays that apply to taught students do not apply to PGR</w:t>
      </w:r>
      <w:r w:rsidR="000855AE">
        <w:rPr>
          <w:rFonts w:ascii="Calibri" w:hAnsi="Calibri" w:cs="Calibri"/>
          <w:color w:val="333333"/>
          <w:sz w:val="22"/>
          <w:szCs w:val="22"/>
          <w:bdr w:val="none" w:sz="0" w:space="0" w:color="auto" w:frame="1"/>
          <w:shd w:val="clear" w:color="auto" w:fill="FFFFFF"/>
        </w:rPr>
        <w:t xml:space="preserve"> students.</w:t>
      </w:r>
    </w:p>
    <w:p w14:paraId="023857E1" w14:textId="4C4B7CD8" w:rsidR="00F917C6" w:rsidRPr="00F917C6" w:rsidRDefault="00F917C6" w:rsidP="00D037CF">
      <w:pPr>
        <w:pStyle w:val="xmsonormal"/>
        <w:shd w:val="clear" w:color="auto" w:fill="FFFFFF"/>
        <w:spacing w:before="0" w:beforeAutospacing="0" w:after="0" w:afterAutospacing="0" w:line="360" w:lineRule="auto"/>
      </w:pPr>
      <w:r>
        <w:rPr>
          <w:rFonts w:ascii="Calibri" w:hAnsi="Calibri" w:cs="Calibri"/>
          <w:color w:val="201F1E"/>
          <w:sz w:val="22"/>
          <w:szCs w:val="22"/>
        </w:rPr>
        <w:t> </w:t>
      </w:r>
    </w:p>
    <w:p w14:paraId="5618B6A8" w14:textId="59A453C9" w:rsidR="004710FF" w:rsidRPr="004710FF" w:rsidRDefault="00B90C70" w:rsidP="004710FF">
      <w:pPr>
        <w:pStyle w:val="Heading2"/>
        <w:numPr>
          <w:ilvl w:val="0"/>
          <w:numId w:val="28"/>
        </w:numPr>
        <w:spacing w:line="360" w:lineRule="auto"/>
      </w:pPr>
      <w:bookmarkStart w:id="3" w:name="_Toc31624774"/>
      <w:r>
        <w:t xml:space="preserve">Role </w:t>
      </w:r>
      <w:r w:rsidR="00DD30D5">
        <w:t xml:space="preserve">Titles </w:t>
      </w:r>
      <w:r>
        <w:t xml:space="preserve">and </w:t>
      </w:r>
      <w:bookmarkStart w:id="4" w:name="_Toc31624775"/>
      <w:bookmarkEnd w:id="3"/>
      <w:r w:rsidR="004710FF">
        <w:t>Responsibilities</w:t>
      </w:r>
    </w:p>
    <w:p w14:paraId="1F984E49" w14:textId="21B273FF" w:rsidR="00B90C70" w:rsidRPr="00DD30D5" w:rsidRDefault="004D776C" w:rsidP="00B90C70">
      <w:pPr>
        <w:pStyle w:val="Heading3"/>
        <w:numPr>
          <w:ilvl w:val="0"/>
          <w:numId w:val="9"/>
        </w:numPr>
        <w:rPr>
          <w:b/>
          <w:bCs/>
        </w:rPr>
      </w:pPr>
      <w:r w:rsidRPr="00DD30D5">
        <w:rPr>
          <w:b/>
          <w:bCs/>
        </w:rPr>
        <w:t xml:space="preserve">Graduate Teacher </w:t>
      </w:r>
      <w:bookmarkEnd w:id="4"/>
      <w:r w:rsidRPr="00DD30D5">
        <w:rPr>
          <w:b/>
          <w:bCs/>
        </w:rPr>
        <w:t>– Level 1</w:t>
      </w:r>
      <w:r w:rsidR="00B46922" w:rsidRPr="00DD30D5">
        <w:rPr>
          <w:b/>
          <w:bCs/>
        </w:rPr>
        <w:t xml:space="preserve"> (Grade G)</w:t>
      </w:r>
      <w:r w:rsidRPr="00DD30D5">
        <w:rPr>
          <w:b/>
          <w:bCs/>
        </w:rPr>
        <w:t xml:space="preserve"> </w:t>
      </w:r>
    </w:p>
    <w:p w14:paraId="30FFF820" w14:textId="77777777" w:rsidR="00B90C70" w:rsidRDefault="00B90C70" w:rsidP="00B90C70">
      <w:pPr>
        <w:pStyle w:val="Heading3"/>
        <w:spacing w:before="0" w:line="360" w:lineRule="auto"/>
        <w:rPr>
          <w:rFonts w:asciiTheme="minorHAnsi" w:hAnsiTheme="minorHAnsi" w:cstheme="minorHAnsi"/>
          <w:b/>
          <w:bCs/>
          <w:color w:val="333333"/>
          <w:sz w:val="22"/>
          <w:szCs w:val="22"/>
        </w:rPr>
      </w:pPr>
    </w:p>
    <w:p w14:paraId="507701D0" w14:textId="55F5110E" w:rsidR="00B90C70" w:rsidRPr="004710FF" w:rsidRDefault="00B46922" w:rsidP="00B90C70">
      <w:pPr>
        <w:rPr>
          <w:b/>
          <w:bCs/>
        </w:rPr>
      </w:pPr>
      <w:r w:rsidRPr="00B46922">
        <w:rPr>
          <w:b/>
          <w:bCs/>
        </w:rPr>
        <w:t>The full role profile can be found here:</w:t>
      </w:r>
      <w:r w:rsidR="00B7713F">
        <w:rPr>
          <w:b/>
          <w:bCs/>
        </w:rPr>
        <w:t xml:space="preserve"> </w:t>
      </w:r>
      <w:hyperlink r:id="rId12" w:anchor="d.en.172630" w:history="1">
        <w:r w:rsidR="000F543C">
          <w:rPr>
            <w:rStyle w:val="Hyperlink"/>
          </w:rPr>
          <w:t>Graduate Teacher Level 1 role profile | Human Resources | University of Bristol</w:t>
        </w:r>
      </w:hyperlink>
    </w:p>
    <w:p w14:paraId="008D5E0F" w14:textId="2963F9D9" w:rsidR="00B90C70" w:rsidRPr="00DD30D5" w:rsidRDefault="004D776C" w:rsidP="00B90C70">
      <w:pPr>
        <w:pStyle w:val="Heading3"/>
        <w:numPr>
          <w:ilvl w:val="0"/>
          <w:numId w:val="9"/>
        </w:numPr>
        <w:rPr>
          <w:b/>
          <w:bCs/>
        </w:rPr>
      </w:pPr>
      <w:bookmarkStart w:id="5" w:name="_Toc31624776"/>
      <w:r w:rsidRPr="00DD30D5">
        <w:rPr>
          <w:b/>
          <w:bCs/>
        </w:rPr>
        <w:t>Graduate Teacher – Level 2</w:t>
      </w:r>
      <w:bookmarkEnd w:id="5"/>
      <w:r w:rsidR="00B46922" w:rsidRPr="00DD30D5">
        <w:rPr>
          <w:b/>
          <w:bCs/>
        </w:rPr>
        <w:t xml:space="preserve"> (Grade H)</w:t>
      </w:r>
      <w:r w:rsidR="00DD30D5">
        <w:rPr>
          <w:b/>
          <w:bCs/>
        </w:rPr>
        <w:t xml:space="preserve"> </w:t>
      </w:r>
    </w:p>
    <w:p w14:paraId="18863E05" w14:textId="77777777" w:rsidR="004710FF" w:rsidRDefault="00B46922" w:rsidP="004710FF">
      <w:pPr>
        <w:spacing w:before="100" w:beforeAutospacing="1" w:after="100" w:afterAutospacing="1" w:line="360" w:lineRule="auto"/>
      </w:pPr>
      <w:r w:rsidRPr="00B46922">
        <w:rPr>
          <w:rStyle w:val="Emphasis"/>
          <w:rFonts w:cstheme="minorHAnsi"/>
          <w:b/>
          <w:bCs/>
          <w:i w:val="0"/>
          <w:iCs w:val="0"/>
          <w:color w:val="333333"/>
        </w:rPr>
        <w:t>The full role profile can be found here:</w:t>
      </w:r>
      <w:r w:rsidR="00B7713F">
        <w:rPr>
          <w:rStyle w:val="Emphasis"/>
          <w:rFonts w:cstheme="minorHAnsi"/>
          <w:b/>
          <w:bCs/>
          <w:i w:val="0"/>
          <w:iCs w:val="0"/>
          <w:color w:val="333333"/>
        </w:rPr>
        <w:t xml:space="preserve"> </w:t>
      </w:r>
      <w:hyperlink r:id="rId13" w:anchor="d.en.172622" w:history="1">
        <w:r w:rsidR="000F543C">
          <w:rPr>
            <w:rStyle w:val="Hyperlink"/>
          </w:rPr>
          <w:t>Graduate Teacher Level 2 role profile | Human Resources | University of Bristol</w:t>
        </w:r>
      </w:hyperlink>
    </w:p>
    <w:p w14:paraId="2FE25ACB" w14:textId="766D540E" w:rsidR="00744785" w:rsidRPr="00996965" w:rsidRDefault="00C95C92" w:rsidP="004710FF">
      <w:pPr>
        <w:pStyle w:val="ListParagraph"/>
        <w:numPr>
          <w:ilvl w:val="0"/>
          <w:numId w:val="9"/>
        </w:numPr>
        <w:spacing w:before="100" w:beforeAutospacing="1" w:after="100" w:afterAutospacing="1" w:line="360" w:lineRule="auto"/>
        <w:rPr>
          <w:b/>
          <w:bCs/>
        </w:rPr>
      </w:pPr>
      <w:r w:rsidRPr="00996965">
        <w:rPr>
          <w:b/>
          <w:bCs/>
        </w:rPr>
        <w:t>Demonstrator (Grade F)</w:t>
      </w:r>
    </w:p>
    <w:p w14:paraId="34298705" w14:textId="19C1E77A" w:rsidR="00D6271A" w:rsidRDefault="00D6271A" w:rsidP="00D6271A">
      <w:pPr>
        <w:spacing w:before="100" w:beforeAutospacing="1" w:after="100" w:afterAutospacing="1" w:line="360" w:lineRule="auto"/>
        <w:rPr>
          <w:rStyle w:val="Hyperlink"/>
        </w:rPr>
      </w:pPr>
      <w:r w:rsidRPr="00D6271A">
        <w:rPr>
          <w:rStyle w:val="Emphasis"/>
          <w:rFonts w:cstheme="minorHAnsi"/>
          <w:b/>
          <w:bCs/>
          <w:i w:val="0"/>
          <w:iCs w:val="0"/>
          <w:color w:val="333333"/>
        </w:rPr>
        <w:t xml:space="preserve">The full role profile can be found here: </w:t>
      </w:r>
      <w:hyperlink r:id="rId14" w:anchor="d.en.172623" w:history="1">
        <w:r w:rsidR="000F543C">
          <w:rPr>
            <w:rStyle w:val="Hyperlink"/>
          </w:rPr>
          <w:t>Demonstrator role profile | Human Resources | University of Bristol</w:t>
        </w:r>
      </w:hyperlink>
    </w:p>
    <w:p w14:paraId="27E176CD" w14:textId="102F1EF6" w:rsidR="00B90C70" w:rsidRPr="00996965" w:rsidRDefault="00B90C70" w:rsidP="00B90C70">
      <w:pPr>
        <w:pStyle w:val="Heading3"/>
        <w:numPr>
          <w:ilvl w:val="0"/>
          <w:numId w:val="9"/>
        </w:numPr>
        <w:rPr>
          <w:b/>
          <w:bCs/>
        </w:rPr>
      </w:pPr>
      <w:bookmarkStart w:id="6" w:name="_Toc31624777"/>
      <w:r w:rsidRPr="00996965">
        <w:rPr>
          <w:b/>
          <w:bCs/>
        </w:rPr>
        <w:lastRenderedPageBreak/>
        <w:t>Progression criteria</w:t>
      </w:r>
      <w:bookmarkEnd w:id="6"/>
    </w:p>
    <w:p w14:paraId="7AC38E24" w14:textId="77777777" w:rsidR="004710FF" w:rsidRPr="004710FF" w:rsidRDefault="004710FF" w:rsidP="004710FF">
      <w:pPr>
        <w:rPr>
          <w:sz w:val="8"/>
          <w:szCs w:val="8"/>
        </w:rPr>
      </w:pPr>
    </w:p>
    <w:p w14:paraId="3AC31807" w14:textId="44FCE186" w:rsidR="00B90C70" w:rsidRPr="00545C63" w:rsidRDefault="00C86598" w:rsidP="00B90C70">
      <w:pPr>
        <w:spacing w:line="360" w:lineRule="auto"/>
      </w:pPr>
      <w:r>
        <w:t xml:space="preserve">A </w:t>
      </w:r>
      <w:r w:rsidR="00B90C70">
        <w:t>Graduate Teacher</w:t>
      </w:r>
      <w:r>
        <w:t xml:space="preserve"> Level 1</w:t>
      </w:r>
      <w:r w:rsidR="00B90C70">
        <w:t xml:space="preserve"> </w:t>
      </w:r>
      <w:r w:rsidR="00B46922">
        <w:t>may be able to</w:t>
      </w:r>
      <w:r w:rsidR="00B90C70">
        <w:t xml:space="preserve"> progress </w:t>
      </w:r>
      <w:r w:rsidR="00F1571A">
        <w:t>in</w:t>
      </w:r>
      <w:r w:rsidR="00B90C70">
        <w:t xml:space="preserve"> their second year</w:t>
      </w:r>
      <w:r w:rsidR="00F1571A">
        <w:t xml:space="preserve"> of teaching to </w:t>
      </w:r>
      <w:r w:rsidR="00C95C92">
        <w:t xml:space="preserve">Graduate Teacher </w:t>
      </w:r>
      <w:r w:rsidR="00F1571A">
        <w:t>level 2</w:t>
      </w:r>
      <w:r w:rsidR="00B90C70">
        <w:t xml:space="preserve"> if the following criteria are met:</w:t>
      </w:r>
    </w:p>
    <w:p w14:paraId="2EBB78E9" w14:textId="6D1B6198" w:rsidR="00B46922" w:rsidRDefault="00B46922" w:rsidP="00B46922">
      <w:pPr>
        <w:pStyle w:val="ListParagraph"/>
        <w:numPr>
          <w:ilvl w:val="0"/>
          <w:numId w:val="1"/>
        </w:numPr>
        <w:spacing w:line="360" w:lineRule="auto"/>
      </w:pPr>
      <w:r>
        <w:t>The School or Department has need for a role at a higher level.</w:t>
      </w:r>
    </w:p>
    <w:p w14:paraId="697D8E1F" w14:textId="7BB06B60" w:rsidR="00B90C70" w:rsidRDefault="00B90C70" w:rsidP="00B90C70">
      <w:pPr>
        <w:pStyle w:val="ListParagraph"/>
        <w:numPr>
          <w:ilvl w:val="0"/>
          <w:numId w:val="1"/>
        </w:numPr>
        <w:spacing w:line="360" w:lineRule="auto"/>
        <w:rPr>
          <w:rFonts w:eastAsiaTheme="minorEastAsia"/>
        </w:rPr>
      </w:pPr>
      <w:r>
        <w:t>They have successfully completed all mandatory training.</w:t>
      </w:r>
    </w:p>
    <w:p w14:paraId="10C22357" w14:textId="77777777" w:rsidR="00B90C70" w:rsidRDefault="00B90C70" w:rsidP="00B90C70">
      <w:pPr>
        <w:pStyle w:val="ListParagraph"/>
        <w:numPr>
          <w:ilvl w:val="0"/>
          <w:numId w:val="1"/>
        </w:numPr>
        <w:spacing w:line="360" w:lineRule="auto"/>
      </w:pPr>
      <w:r>
        <w:t>Their observation and student feedback scores are acceptable.</w:t>
      </w:r>
    </w:p>
    <w:p w14:paraId="7AB4733D" w14:textId="45C4A6F6" w:rsidR="00B46922" w:rsidRDefault="00B90C70" w:rsidP="00CB4B43">
      <w:pPr>
        <w:pStyle w:val="ListParagraph"/>
        <w:numPr>
          <w:ilvl w:val="0"/>
          <w:numId w:val="1"/>
        </w:numPr>
        <w:spacing w:line="360" w:lineRule="auto"/>
      </w:pPr>
      <w:r>
        <w:t>They wish to continue teaching for a further year</w:t>
      </w:r>
      <w:r w:rsidR="00F1571A">
        <w:t xml:space="preserve"> </w:t>
      </w:r>
    </w:p>
    <w:p w14:paraId="247C501B" w14:textId="62BCF889" w:rsidR="005C0758" w:rsidRDefault="00CB4B43" w:rsidP="00B46922">
      <w:pPr>
        <w:spacing w:line="360" w:lineRule="auto"/>
      </w:pPr>
      <w:r>
        <w:t xml:space="preserve">Where teaching </w:t>
      </w:r>
      <w:r w:rsidR="005C0758">
        <w:t xml:space="preserve">cover </w:t>
      </w:r>
      <w:r>
        <w:t xml:space="preserve">requirements more closely align to the Pathway 3, Teaching Associate role profile (level a/Grade I), then </w:t>
      </w:r>
      <w:r w:rsidR="005C0758">
        <w:t xml:space="preserve">it will normally be the case that </w:t>
      </w:r>
      <w:r>
        <w:t xml:space="preserve">a </w:t>
      </w:r>
      <w:r w:rsidR="00B46922">
        <w:t xml:space="preserve">role </w:t>
      </w:r>
      <w:r w:rsidR="00A9167B">
        <w:t xml:space="preserve">will be </w:t>
      </w:r>
      <w:r>
        <w:t>advertised either as a Fixed Term cover contract or open-ended post as appropriate</w:t>
      </w:r>
      <w:r w:rsidR="005C0758">
        <w:t xml:space="preserve"> unless the cover is for a period of less than 12 weeks</w:t>
      </w:r>
      <w:r>
        <w:t>.</w:t>
      </w:r>
      <w:r w:rsidR="005C0758">
        <w:t xml:space="preserve"> In this scenario a Teaching Support contract may be </w:t>
      </w:r>
      <w:r w:rsidR="00614E8B">
        <w:t xml:space="preserve">issued </w:t>
      </w:r>
      <w:r w:rsidR="00BE091F">
        <w:t>at Grade I</w:t>
      </w:r>
      <w:r w:rsidR="004710FF">
        <w:t>:</w:t>
      </w:r>
      <w:r>
        <w:t xml:space="preserve"> </w:t>
      </w:r>
    </w:p>
    <w:p w14:paraId="44E7884B" w14:textId="5AFF2DE9" w:rsidR="004710FF" w:rsidRPr="00996965" w:rsidRDefault="004710FF" w:rsidP="00B46922">
      <w:pPr>
        <w:spacing w:line="360" w:lineRule="auto"/>
        <w:rPr>
          <w:b/>
          <w:bCs/>
        </w:rPr>
      </w:pPr>
      <w:r w:rsidRPr="00996965">
        <w:rPr>
          <w:b/>
          <w:bCs/>
        </w:rPr>
        <w:t xml:space="preserve">Teaching Associate </w:t>
      </w:r>
      <w:r w:rsidR="00996965">
        <w:rPr>
          <w:b/>
          <w:bCs/>
        </w:rPr>
        <w:t>(</w:t>
      </w:r>
      <w:r w:rsidR="005C0758" w:rsidRPr="00996965">
        <w:rPr>
          <w:b/>
          <w:bCs/>
        </w:rPr>
        <w:t>Grade I</w:t>
      </w:r>
      <w:r w:rsidR="00996965">
        <w:rPr>
          <w:b/>
          <w:bCs/>
        </w:rPr>
        <w:t>)</w:t>
      </w:r>
    </w:p>
    <w:p w14:paraId="220B04A2" w14:textId="71383065" w:rsidR="004710FF" w:rsidRDefault="004710FF" w:rsidP="00B46922">
      <w:pPr>
        <w:spacing w:line="360" w:lineRule="auto"/>
        <w:rPr>
          <w:rStyle w:val="Hyperlink"/>
        </w:rPr>
      </w:pPr>
      <w:r w:rsidRPr="00996965">
        <w:rPr>
          <w:b/>
          <w:bCs/>
        </w:rPr>
        <w:t xml:space="preserve">The full </w:t>
      </w:r>
      <w:r w:rsidR="00CB4B43" w:rsidRPr="00996965">
        <w:rPr>
          <w:b/>
          <w:bCs/>
        </w:rPr>
        <w:t>role profile can be found here:</w:t>
      </w:r>
      <w:r w:rsidR="00CB4B43">
        <w:t xml:space="preserve"> </w:t>
      </w:r>
      <w:hyperlink r:id="rId15" w:history="1">
        <w:r>
          <w:rPr>
            <w:rStyle w:val="Hyperlink"/>
          </w:rPr>
          <w:t>Teaching Associate (Grade I) Level a</w:t>
        </w:r>
        <w:r w:rsidR="00996965">
          <w:rPr>
            <w:rStyle w:val="Hyperlink"/>
          </w:rPr>
          <w:t xml:space="preserve"> -</w:t>
        </w:r>
        <w:r>
          <w:rPr>
            <w:rStyle w:val="Hyperlink"/>
          </w:rPr>
          <w:t xml:space="preserve"> role profile | Human Resources | University of Bristol</w:t>
        </w:r>
      </w:hyperlink>
    </w:p>
    <w:p w14:paraId="42725F13" w14:textId="07B3C0CD" w:rsidR="00CF4009" w:rsidRDefault="00CF4009" w:rsidP="004710FF">
      <w:pPr>
        <w:pStyle w:val="Heading2"/>
        <w:numPr>
          <w:ilvl w:val="0"/>
          <w:numId w:val="28"/>
        </w:numPr>
        <w:spacing w:line="360" w:lineRule="auto"/>
      </w:pPr>
      <w:bookmarkStart w:id="7" w:name="_Toc31624778"/>
      <w:r>
        <w:t xml:space="preserve">How are </w:t>
      </w:r>
      <w:r w:rsidR="00C95C92">
        <w:t>Teaching Support Staff</w:t>
      </w:r>
      <w:r>
        <w:t xml:space="preserve"> recruited?</w:t>
      </w:r>
    </w:p>
    <w:p w14:paraId="0652F233" w14:textId="3ED39957" w:rsidR="00643C59" w:rsidRDefault="00952E94" w:rsidP="00643C59">
      <w:pPr>
        <w:spacing w:line="360" w:lineRule="auto"/>
      </w:pPr>
      <w:r>
        <w:t xml:space="preserve">The University is committed </w:t>
      </w:r>
      <w:r w:rsidR="00643C59">
        <w:t xml:space="preserve">to ensuring that employment opportunities are offered fairly and transparently as part of its diversity and inclusion strategy.  Each year </w:t>
      </w:r>
      <w:r w:rsidR="005C0758">
        <w:t xml:space="preserve">from </w:t>
      </w:r>
      <w:r w:rsidR="00643C59">
        <w:t>May</w:t>
      </w:r>
      <w:r w:rsidR="00BE091F">
        <w:t>/J</w:t>
      </w:r>
      <w:r w:rsidR="005C0758">
        <w:t>une</w:t>
      </w:r>
      <w:r w:rsidR="00643C59">
        <w:t>, Human Resources will initiate generic advert</w:t>
      </w:r>
      <w:r w:rsidR="00C86598">
        <w:t>s</w:t>
      </w:r>
      <w:r w:rsidR="00643C59">
        <w:t xml:space="preserve"> to promote Teaching Support opportunities for the next academic year</w:t>
      </w:r>
      <w:r w:rsidR="005C0758">
        <w:t xml:space="preserve"> for each Academic School</w:t>
      </w:r>
      <w:r w:rsidR="00643C59">
        <w:t xml:space="preserve">. At such an early stage in the cycle, it will not be possible to provide detail </w:t>
      </w:r>
      <w:r w:rsidR="00A9167B">
        <w:t>o</w:t>
      </w:r>
      <w:r w:rsidR="00643C59">
        <w:t xml:space="preserve">n specific opportunities so </w:t>
      </w:r>
      <w:r w:rsidR="005C0758">
        <w:t>‘</w:t>
      </w:r>
      <w:r w:rsidR="00643C59">
        <w:t>Expressions of Interest</w:t>
      </w:r>
      <w:r w:rsidR="005C0758">
        <w:t>’</w:t>
      </w:r>
      <w:r w:rsidR="00643C59">
        <w:t xml:space="preserve"> will be invited from eligible candidates describing the nature of the roles that will likely be available. </w:t>
      </w:r>
      <w:r w:rsidR="005D53DE">
        <w:t>A</w:t>
      </w:r>
      <w:r w:rsidR="00A9167B">
        <w:t xml:space="preserve">pplicants </w:t>
      </w:r>
      <w:r w:rsidR="005D53DE">
        <w:t xml:space="preserve">must </w:t>
      </w:r>
      <w:r w:rsidR="00643C59">
        <w:t xml:space="preserve">complete short application forms to capture </w:t>
      </w:r>
      <w:r w:rsidR="000929FE">
        <w:t xml:space="preserve">the </w:t>
      </w:r>
      <w:r w:rsidR="00643C59">
        <w:t xml:space="preserve">biographical details needed along with </w:t>
      </w:r>
      <w:r w:rsidR="00BE091F">
        <w:t xml:space="preserve">teaching </w:t>
      </w:r>
      <w:r w:rsidR="005C0758">
        <w:t>subject</w:t>
      </w:r>
      <w:r w:rsidR="00643C59">
        <w:t xml:space="preserve"> preferences and availability. Th</w:t>
      </w:r>
      <w:r w:rsidR="005C0758">
        <w:t xml:space="preserve">e application form </w:t>
      </w:r>
      <w:r w:rsidR="00643C59">
        <w:t xml:space="preserve">will be submitted centrally via </w:t>
      </w:r>
      <w:proofErr w:type="spellStart"/>
      <w:r w:rsidR="00643C59">
        <w:t>Talentlink</w:t>
      </w:r>
      <w:proofErr w:type="spellEnd"/>
      <w:r w:rsidR="00643C59">
        <w:t xml:space="preserve"> and be held in an applicant pool until </w:t>
      </w:r>
      <w:r w:rsidR="005C0758">
        <w:t xml:space="preserve">the </w:t>
      </w:r>
      <w:proofErr w:type="gramStart"/>
      <w:r w:rsidR="00643C59">
        <w:t>School</w:t>
      </w:r>
      <w:proofErr w:type="gramEnd"/>
      <w:r w:rsidR="00643C59">
        <w:t xml:space="preserve"> co-ord</w:t>
      </w:r>
      <w:r w:rsidR="000929FE">
        <w:t>i</w:t>
      </w:r>
      <w:r w:rsidR="00643C59">
        <w:t>nator request</w:t>
      </w:r>
      <w:r w:rsidR="005C0758">
        <w:t>s</w:t>
      </w:r>
      <w:r w:rsidR="00643C59">
        <w:t xml:space="preserve"> to receive applications </w:t>
      </w:r>
      <w:r w:rsidR="00BE091F">
        <w:t xml:space="preserve">for their School </w:t>
      </w:r>
      <w:r w:rsidR="000929FE">
        <w:t>from the Employee Services Hub</w:t>
      </w:r>
      <w:r w:rsidR="00C86598">
        <w:t>.</w:t>
      </w:r>
      <w:r w:rsidR="00643C59">
        <w:t xml:space="preserve"> </w:t>
      </w:r>
      <w:r w:rsidR="00A458F1">
        <w:t xml:space="preserve">The </w:t>
      </w:r>
      <w:r w:rsidR="00643C59">
        <w:t>School</w:t>
      </w:r>
      <w:r w:rsidR="00A458F1">
        <w:t xml:space="preserve"> Co-ordinator</w:t>
      </w:r>
      <w:r w:rsidR="00643C59">
        <w:t xml:space="preserve"> will then</w:t>
      </w:r>
      <w:r w:rsidR="005C0758">
        <w:t xml:space="preserve"> allocate available teaching roles to s</w:t>
      </w:r>
      <w:r w:rsidR="00A9167B">
        <w:t>uccessful</w:t>
      </w:r>
      <w:r w:rsidR="005C0758">
        <w:t xml:space="preserve"> candidates and provide </w:t>
      </w:r>
      <w:r w:rsidR="00643C59">
        <w:t xml:space="preserve">the details of </w:t>
      </w:r>
      <w:r w:rsidR="00B32C00">
        <w:t>individual c</w:t>
      </w:r>
      <w:r w:rsidR="00643C59">
        <w:t xml:space="preserve">ontracts to be drawn </w:t>
      </w:r>
      <w:r w:rsidR="00A458F1">
        <w:t xml:space="preserve">up </w:t>
      </w:r>
      <w:r w:rsidR="00BE091F">
        <w:t xml:space="preserve">to </w:t>
      </w:r>
      <w:r w:rsidR="000929FE">
        <w:t>the Employee Services Hub</w:t>
      </w:r>
      <w:r w:rsidR="00BE091F">
        <w:t xml:space="preserve">. </w:t>
      </w:r>
      <w:r w:rsidR="00A458F1">
        <w:t xml:space="preserve">The School Co-ordinator will vary from School to School and could be the School Manager or Deputy as well as </w:t>
      </w:r>
      <w:r w:rsidR="000919C1">
        <w:t xml:space="preserve">School </w:t>
      </w:r>
      <w:r w:rsidR="00A458F1">
        <w:t>Teaching or Unit Directors.</w:t>
      </w:r>
    </w:p>
    <w:p w14:paraId="59857BA2" w14:textId="3D6ABA1A" w:rsidR="00B90C70" w:rsidRDefault="00B90C70" w:rsidP="004710FF">
      <w:pPr>
        <w:pStyle w:val="Heading2"/>
        <w:numPr>
          <w:ilvl w:val="0"/>
          <w:numId w:val="28"/>
        </w:numPr>
        <w:spacing w:line="360" w:lineRule="auto"/>
      </w:pPr>
      <w:r>
        <w:t>What happens at the end of an assignment?</w:t>
      </w:r>
      <w:bookmarkEnd w:id="7"/>
    </w:p>
    <w:p w14:paraId="70E4EE09" w14:textId="101CF282" w:rsidR="00B90C70" w:rsidRDefault="00A9167B" w:rsidP="00B90C70">
      <w:pPr>
        <w:spacing w:line="360" w:lineRule="auto"/>
      </w:pPr>
      <w:r>
        <w:t xml:space="preserve">Your </w:t>
      </w:r>
      <w:r w:rsidR="00C95C92">
        <w:t>Teaching Support</w:t>
      </w:r>
      <w:r w:rsidR="00B90C70">
        <w:t xml:space="preserve"> assignment will </w:t>
      </w:r>
      <w:r w:rsidR="005C0758">
        <w:t xml:space="preserve">normally </w:t>
      </w:r>
      <w:r w:rsidR="00B90C70">
        <w:t>end a</w:t>
      </w:r>
      <w:r w:rsidR="000929FE">
        <w:t xml:space="preserve">t the end of the </w:t>
      </w:r>
      <w:r w:rsidR="005C0758">
        <w:t>contracted period</w:t>
      </w:r>
      <w:r w:rsidR="00B90C70">
        <w:t xml:space="preserve"> as standard</w:t>
      </w:r>
      <w:r w:rsidR="00D844E3">
        <w:t xml:space="preserve"> which may be one or two years. </w:t>
      </w:r>
      <w:r>
        <w:t xml:space="preserve">If you are </w:t>
      </w:r>
      <w:r w:rsidR="00D844E3">
        <w:t xml:space="preserve">recruited for a </w:t>
      </w:r>
      <w:r w:rsidR="00B32C00">
        <w:t>1-year</w:t>
      </w:r>
      <w:r w:rsidR="00D844E3">
        <w:t xml:space="preserve"> assignment in the first instance, </w:t>
      </w:r>
      <w:r w:rsidRPr="00C86598">
        <w:t xml:space="preserve">you </w:t>
      </w:r>
      <w:r w:rsidR="00C86598" w:rsidRPr="00C86598">
        <w:lastRenderedPageBreak/>
        <w:t>may</w:t>
      </w:r>
      <w:r w:rsidR="00D844E3" w:rsidRPr="00C86598">
        <w:t xml:space="preserve"> need to reapply for future opportunities as they </w:t>
      </w:r>
      <w:r w:rsidR="00996965" w:rsidRPr="00C86598">
        <w:t>arise,</w:t>
      </w:r>
      <w:r w:rsidR="00C86598">
        <w:t xml:space="preserve"> but your School will advise you on this. You may be offered teaching work for up to </w:t>
      </w:r>
      <w:r w:rsidR="00D844E3" w:rsidRPr="00C86598">
        <w:t xml:space="preserve">2-years if </w:t>
      </w:r>
      <w:r w:rsidR="00C86598">
        <w:t xml:space="preserve">you are to </w:t>
      </w:r>
      <w:r w:rsidR="00D844E3" w:rsidRPr="00C86598">
        <w:t xml:space="preserve">remain a </w:t>
      </w:r>
      <w:r w:rsidR="00B90C70" w:rsidRPr="00C86598">
        <w:t>PGR student at the University</w:t>
      </w:r>
      <w:r w:rsidR="00C86598">
        <w:t xml:space="preserve"> and i</w:t>
      </w:r>
      <w:r w:rsidRPr="00C86598">
        <w:t xml:space="preserve">f </w:t>
      </w:r>
      <w:r w:rsidR="00D844E3" w:rsidRPr="00C86598">
        <w:t>a higher</w:t>
      </w:r>
      <w:r w:rsidR="00D844E3">
        <w:t xml:space="preserve">-level Teaching need in year 2 </w:t>
      </w:r>
      <w:r>
        <w:t>is</w:t>
      </w:r>
      <w:r w:rsidR="00D844E3">
        <w:t xml:space="preserve"> identified at the outset as per section c (i</w:t>
      </w:r>
      <w:r w:rsidR="00C95C92">
        <w:t>v</w:t>
      </w:r>
      <w:r w:rsidR="00D844E3">
        <w:t>)</w:t>
      </w:r>
      <w:r w:rsidR="00C86598">
        <w:t>.</w:t>
      </w:r>
      <w:r w:rsidR="00D844E3">
        <w:t xml:space="preserve"> If the</w:t>
      </w:r>
      <w:r w:rsidR="00B90C70">
        <w:t xml:space="preserve"> School/Department require</w:t>
      </w:r>
      <w:r w:rsidR="00D844E3">
        <w:t>s</w:t>
      </w:r>
      <w:r w:rsidR="00B90C70">
        <w:t xml:space="preserve"> </w:t>
      </w:r>
      <w:r>
        <w:t>an</w:t>
      </w:r>
      <w:r w:rsidR="00D844E3">
        <w:t xml:space="preserve"> </w:t>
      </w:r>
      <w:r w:rsidR="00C95C92">
        <w:t>individual</w:t>
      </w:r>
      <w:r w:rsidR="00D844E3">
        <w:t xml:space="preserve"> for a 3</w:t>
      </w:r>
      <w:r w:rsidR="00D844E3" w:rsidRPr="00D844E3">
        <w:rPr>
          <w:vertAlign w:val="superscript"/>
        </w:rPr>
        <w:t>rd</w:t>
      </w:r>
      <w:r w:rsidR="00D844E3">
        <w:t xml:space="preserve"> year,</w:t>
      </w:r>
      <w:r w:rsidR="00B90C70">
        <w:t xml:space="preserve"> then it may be possible to extend the contract </w:t>
      </w:r>
      <w:r w:rsidR="00D844E3">
        <w:t>without the requirement for a further application</w:t>
      </w:r>
      <w:r w:rsidR="00B90C70">
        <w:t xml:space="preserve">.  If this is the case, </w:t>
      </w:r>
      <w:r>
        <w:t>staff should</w:t>
      </w:r>
      <w:r w:rsidR="00B90C70">
        <w:t xml:space="preserve"> begin discussions with </w:t>
      </w:r>
      <w:r>
        <w:t>you</w:t>
      </w:r>
      <w:r w:rsidR="00B90C70">
        <w:t xml:space="preserve"> at least in the term before the assignment is due to end.</w:t>
      </w:r>
    </w:p>
    <w:p w14:paraId="198CB699" w14:textId="1DD2E54C" w:rsidR="00B90C70" w:rsidRDefault="00B90C70" w:rsidP="00B90C70">
      <w:pPr>
        <w:spacing w:line="360" w:lineRule="auto"/>
      </w:pPr>
      <w:r>
        <w:t xml:space="preserve">Should </w:t>
      </w:r>
      <w:r w:rsidR="00A9167B">
        <w:t>you</w:t>
      </w:r>
      <w:r w:rsidR="00C95C92">
        <w:t xml:space="preserve"> </w:t>
      </w:r>
      <w:r>
        <w:t xml:space="preserve">cease to be a student at the University then employment as a </w:t>
      </w:r>
      <w:r w:rsidR="00C95C92">
        <w:t xml:space="preserve">member of Teaching Support Staff </w:t>
      </w:r>
      <w:r w:rsidR="000919C1">
        <w:t xml:space="preserve">may need to </w:t>
      </w:r>
      <w:r w:rsidR="00C95C92">
        <w:t>end</w:t>
      </w:r>
      <w:r>
        <w:t xml:space="preserve"> with effect from the date that </w:t>
      </w:r>
      <w:r w:rsidR="00A9167B">
        <w:t>you</w:t>
      </w:r>
      <w:r>
        <w:t xml:space="preserve"> cease to be a registered student</w:t>
      </w:r>
      <w:r w:rsidR="000919C1">
        <w:t xml:space="preserve"> if your role is linked to a student scholarship</w:t>
      </w:r>
      <w:r>
        <w:t xml:space="preserve">.  </w:t>
      </w:r>
    </w:p>
    <w:p w14:paraId="4645D1A4" w14:textId="33789743" w:rsidR="00B90C70" w:rsidRDefault="00B90C70" w:rsidP="00B90C70">
      <w:pPr>
        <w:spacing w:line="360" w:lineRule="auto"/>
      </w:pPr>
      <w:r>
        <w:t xml:space="preserve">If the University wishes to end </w:t>
      </w:r>
      <w:r w:rsidR="00A9167B">
        <w:t xml:space="preserve">your </w:t>
      </w:r>
      <w:r>
        <w:t xml:space="preserve">employment as a </w:t>
      </w:r>
      <w:r w:rsidR="00C95C92">
        <w:t>member of Teaching Support Staff</w:t>
      </w:r>
      <w:r>
        <w:t xml:space="preserve"> at any other time than the expected end date, then </w:t>
      </w:r>
      <w:r w:rsidR="00A9167B">
        <w:t>you</w:t>
      </w:r>
      <w:r>
        <w:t xml:space="preserve"> will be entitled to one months’ notice.</w:t>
      </w:r>
    </w:p>
    <w:p w14:paraId="7F88540B" w14:textId="713CB6D5" w:rsidR="00B90C70" w:rsidRDefault="00B90C70" w:rsidP="00B90C70">
      <w:pPr>
        <w:spacing w:line="360" w:lineRule="auto"/>
      </w:pPr>
      <w:r>
        <w:t xml:space="preserve">If </w:t>
      </w:r>
      <w:r w:rsidR="00A9167B">
        <w:t>you</w:t>
      </w:r>
      <w:r w:rsidR="00C95C92">
        <w:t xml:space="preserve"> </w:t>
      </w:r>
      <w:r>
        <w:t xml:space="preserve">wish to resign from </w:t>
      </w:r>
      <w:r w:rsidR="00A9167B">
        <w:t xml:space="preserve">a </w:t>
      </w:r>
      <w:r>
        <w:t>Teaching</w:t>
      </w:r>
      <w:r w:rsidR="00C95C92">
        <w:t xml:space="preserve"> Support</w:t>
      </w:r>
      <w:r w:rsidR="00A9167B">
        <w:t xml:space="preserve"> Role before the end of the assignment</w:t>
      </w:r>
      <w:r w:rsidR="00B7713F">
        <w:t>,</w:t>
      </w:r>
      <w:r>
        <w:t xml:space="preserve"> </w:t>
      </w:r>
      <w:r w:rsidR="00A9167B">
        <w:t>you</w:t>
      </w:r>
      <w:r>
        <w:t xml:space="preserve"> </w:t>
      </w:r>
      <w:r w:rsidR="00B7713F">
        <w:t xml:space="preserve">will </w:t>
      </w:r>
      <w:r>
        <w:t>need to give the University one months’ notice in writing, which should be sent to the local School/Department contact copi</w:t>
      </w:r>
      <w:r w:rsidR="00D844E3">
        <w:t>ed</w:t>
      </w:r>
      <w:r>
        <w:t xml:space="preserve"> </w:t>
      </w:r>
      <w:r w:rsidR="00D844E3">
        <w:t>to</w:t>
      </w:r>
      <w:r>
        <w:t xml:space="preserve"> the relevant </w:t>
      </w:r>
      <w:r w:rsidRPr="006A38C5">
        <w:t>Employee Services Hub</w:t>
      </w:r>
      <w:r>
        <w:t xml:space="preserve"> team.</w:t>
      </w:r>
    </w:p>
    <w:p w14:paraId="12186142" w14:textId="77777777" w:rsidR="00B90C70" w:rsidRDefault="00B90C70" w:rsidP="00996965">
      <w:pPr>
        <w:pStyle w:val="Heading1"/>
        <w:numPr>
          <w:ilvl w:val="0"/>
          <w:numId w:val="29"/>
        </w:numPr>
        <w:spacing w:line="360" w:lineRule="auto"/>
      </w:pPr>
      <w:bookmarkStart w:id="8" w:name="_Toc31624779"/>
      <w:r>
        <w:t>Training and Mentoring</w:t>
      </w:r>
      <w:bookmarkEnd w:id="8"/>
    </w:p>
    <w:p w14:paraId="4C57D653" w14:textId="77777777" w:rsidR="00B90C70" w:rsidRDefault="00B90C70" w:rsidP="00B90C70">
      <w:pPr>
        <w:pStyle w:val="Heading2"/>
        <w:numPr>
          <w:ilvl w:val="0"/>
          <w:numId w:val="3"/>
        </w:numPr>
        <w:spacing w:line="360" w:lineRule="auto"/>
      </w:pPr>
      <w:bookmarkStart w:id="9" w:name="_Toc31624780"/>
      <w:r>
        <w:t>Mandatory Training</w:t>
      </w:r>
      <w:bookmarkEnd w:id="9"/>
    </w:p>
    <w:p w14:paraId="60C61494" w14:textId="12F4B282" w:rsidR="00B90C70" w:rsidRDefault="00B90C70" w:rsidP="00B90C70">
      <w:pPr>
        <w:spacing w:line="360" w:lineRule="auto"/>
      </w:pPr>
      <w:r>
        <w:t xml:space="preserve">Working </w:t>
      </w:r>
      <w:r w:rsidR="00C95C92">
        <w:t xml:space="preserve">in a </w:t>
      </w:r>
      <w:r>
        <w:t>Teach</w:t>
      </w:r>
      <w:r w:rsidR="00C95C92">
        <w:t>ing Support Role</w:t>
      </w:r>
      <w:r>
        <w:t xml:space="preserve"> is intended to provide valuable teaching skills and experience</w:t>
      </w:r>
      <w:r w:rsidR="005D53DE">
        <w:t xml:space="preserve"> and</w:t>
      </w:r>
      <w:r>
        <w:t xml:space="preserve"> contribut</w:t>
      </w:r>
      <w:r w:rsidR="005D53DE">
        <w:t>e</w:t>
      </w:r>
      <w:r>
        <w:t xml:space="preserve"> to </w:t>
      </w:r>
      <w:r w:rsidR="005D53DE">
        <w:t xml:space="preserve">your </w:t>
      </w:r>
      <w:r>
        <w:t xml:space="preserve">overall development.  As part of this there is a requirement for some mandatory training which must be undertaken before </w:t>
      </w:r>
      <w:r w:rsidR="00A9167B">
        <w:t>you</w:t>
      </w:r>
      <w:r>
        <w:t xml:space="preserve"> start to teach.  Pay</w:t>
      </w:r>
      <w:r w:rsidR="00A9167B">
        <w:t>ment for this and any other mandatory training w</w:t>
      </w:r>
      <w:r>
        <w:t xml:space="preserve">ill be at </w:t>
      </w:r>
      <w:r w:rsidR="00A9167B">
        <w:t xml:space="preserve">your </w:t>
      </w:r>
      <w:r>
        <w:t>usual hourly rate</w:t>
      </w:r>
      <w:r w:rsidR="00A9167B">
        <w:t>.</w:t>
      </w:r>
      <w:r w:rsidR="00FA513B">
        <w:t xml:space="preserve"> These essential </w:t>
      </w:r>
      <w:r>
        <w:t>training sessions</w:t>
      </w:r>
      <w:r w:rsidR="00FA513B">
        <w:t xml:space="preserve"> form part of your in</w:t>
      </w:r>
      <w:r w:rsidR="00357084">
        <w:t>duction and may be supplemented by other local departmental requirements.</w:t>
      </w:r>
    </w:p>
    <w:tbl>
      <w:tblPr>
        <w:tblStyle w:val="GridTable5Dark-Accent5"/>
        <w:tblW w:w="0" w:type="auto"/>
        <w:tblLook w:val="04A0" w:firstRow="1" w:lastRow="0" w:firstColumn="1" w:lastColumn="0" w:noHBand="0" w:noVBand="1"/>
      </w:tblPr>
      <w:tblGrid>
        <w:gridCol w:w="1695"/>
        <w:gridCol w:w="2758"/>
        <w:gridCol w:w="2641"/>
        <w:gridCol w:w="1922"/>
      </w:tblGrid>
      <w:tr w:rsidR="00B90C70" w14:paraId="524FCB6F" w14:textId="77777777" w:rsidTr="00325BD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2A105738" w14:textId="77777777" w:rsidR="00B90C70" w:rsidRDefault="00B90C70" w:rsidP="00325BD1">
            <w:pPr>
              <w:spacing w:line="360" w:lineRule="auto"/>
            </w:pPr>
            <w:r>
              <w:t>Role</w:t>
            </w:r>
          </w:p>
        </w:tc>
        <w:tc>
          <w:tcPr>
            <w:tcW w:w="2758" w:type="dxa"/>
          </w:tcPr>
          <w:p w14:paraId="4FEED6EF" w14:textId="17C45F43" w:rsidR="00B90C70" w:rsidRDefault="00B90C70" w:rsidP="00325BD1">
            <w:pPr>
              <w:spacing w:line="360" w:lineRule="auto"/>
              <w:cnfStyle w:val="100000000000" w:firstRow="1" w:lastRow="0" w:firstColumn="0" w:lastColumn="0" w:oddVBand="0" w:evenVBand="0" w:oddHBand="0" w:evenHBand="0" w:firstRowFirstColumn="0" w:firstRowLastColumn="0" w:lastRowFirstColumn="0" w:lastRowLastColumn="0"/>
            </w:pPr>
            <w:r>
              <w:t>Course</w:t>
            </w:r>
            <w:r w:rsidR="00FE3EB6">
              <w:t>/Topic</w:t>
            </w:r>
          </w:p>
        </w:tc>
        <w:tc>
          <w:tcPr>
            <w:tcW w:w="2641" w:type="dxa"/>
          </w:tcPr>
          <w:p w14:paraId="18B875A1" w14:textId="77777777" w:rsidR="00B90C70" w:rsidRDefault="00B90C70" w:rsidP="00325BD1">
            <w:pPr>
              <w:spacing w:line="360" w:lineRule="auto"/>
              <w:cnfStyle w:val="100000000000" w:firstRow="1" w:lastRow="0" w:firstColumn="0" w:lastColumn="0" w:oddVBand="0" w:evenVBand="0" w:oddHBand="0" w:evenHBand="0" w:firstRowFirstColumn="0" w:firstRowLastColumn="0" w:lastRowFirstColumn="0" w:lastRowLastColumn="0"/>
            </w:pPr>
            <w:r>
              <w:t xml:space="preserve">Run By </w:t>
            </w:r>
          </w:p>
        </w:tc>
        <w:tc>
          <w:tcPr>
            <w:tcW w:w="1922" w:type="dxa"/>
          </w:tcPr>
          <w:p w14:paraId="77855D0E" w14:textId="77777777" w:rsidR="00B90C70" w:rsidRDefault="00B90C70" w:rsidP="00325BD1">
            <w:pPr>
              <w:spacing w:line="360" w:lineRule="auto"/>
              <w:cnfStyle w:val="100000000000" w:firstRow="1" w:lastRow="0" w:firstColumn="0" w:lastColumn="0" w:oddVBand="0" w:evenVBand="0" w:oddHBand="0" w:evenHBand="0" w:firstRowFirstColumn="0" w:firstRowLastColumn="0" w:lastRowFirstColumn="0" w:lastRowLastColumn="0"/>
            </w:pPr>
            <w:r>
              <w:t>Paid Duration</w:t>
            </w:r>
          </w:p>
        </w:tc>
      </w:tr>
      <w:tr w:rsidR="00357084" w14:paraId="1F36C3CA"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Pr>
          <w:p w14:paraId="5A3C4A26" w14:textId="2D836963" w:rsidR="00357084" w:rsidRDefault="00357084" w:rsidP="00357084">
            <w:pPr>
              <w:spacing w:line="360" w:lineRule="auto"/>
            </w:pPr>
            <w:r>
              <w:t xml:space="preserve">Teaching Support Staff </w:t>
            </w:r>
            <w:r w:rsidR="00BA0D35">
              <w:t xml:space="preserve">Induction </w:t>
            </w:r>
            <w:r>
              <w:t>- first year of Teaching (Demonstrator, Level 1 &amp; Level 2)</w:t>
            </w:r>
          </w:p>
        </w:tc>
        <w:tc>
          <w:tcPr>
            <w:tcW w:w="2758" w:type="dxa"/>
          </w:tcPr>
          <w:p w14:paraId="55F57210" w14:textId="6621FF90" w:rsidR="00357084" w:rsidRDefault="00357084" w:rsidP="00357084">
            <w:pPr>
              <w:spacing w:line="360" w:lineRule="auto"/>
              <w:cnfStyle w:val="000000100000" w:firstRow="0" w:lastRow="0" w:firstColumn="0" w:lastColumn="0" w:oddVBand="0" w:evenVBand="0" w:oddHBand="1" w:evenHBand="0" w:firstRowFirstColumn="0" w:firstRowLastColumn="0" w:lastRowFirstColumn="0" w:lastRowLastColumn="0"/>
            </w:pPr>
            <w:r>
              <w:t xml:space="preserve">Introduction to HE </w:t>
            </w:r>
            <w:proofErr w:type="gramStart"/>
            <w:r>
              <w:t>Teaching</w:t>
            </w:r>
            <w:proofErr w:type="gramEnd"/>
          </w:p>
        </w:tc>
        <w:tc>
          <w:tcPr>
            <w:tcW w:w="2641" w:type="dxa"/>
          </w:tcPr>
          <w:p w14:paraId="4425BCFC" w14:textId="6E073939" w:rsidR="00357084" w:rsidRDefault="001A521B" w:rsidP="00357084">
            <w:pPr>
              <w:spacing w:line="360" w:lineRule="auto"/>
              <w:cnfStyle w:val="000000100000" w:firstRow="0" w:lastRow="0" w:firstColumn="0" w:lastColumn="0" w:oddVBand="0" w:evenVBand="0" w:oddHBand="1" w:evenHBand="0" w:firstRowFirstColumn="0" w:firstRowLastColumn="0" w:lastRowFirstColumn="0" w:lastRowLastColumn="0"/>
            </w:pPr>
            <w:hyperlink r:id="rId16" w:history="1">
              <w:r w:rsidR="00357084">
                <w:rPr>
                  <w:rStyle w:val="Hyperlink"/>
                </w:rPr>
                <w:t xml:space="preserve">PGRs | Bristol Institute </w:t>
              </w:r>
              <w:proofErr w:type="gramStart"/>
              <w:r w:rsidR="00357084">
                <w:rPr>
                  <w:rStyle w:val="Hyperlink"/>
                </w:rPr>
                <w:t>For</w:t>
              </w:r>
              <w:proofErr w:type="gramEnd"/>
              <w:r w:rsidR="00357084">
                <w:rPr>
                  <w:rStyle w:val="Hyperlink"/>
                </w:rPr>
                <w:t xml:space="preserve"> Learning and Teaching | University of Bristol</w:t>
              </w:r>
            </w:hyperlink>
          </w:p>
        </w:tc>
        <w:tc>
          <w:tcPr>
            <w:tcW w:w="1922" w:type="dxa"/>
          </w:tcPr>
          <w:p w14:paraId="76CFDBF9" w14:textId="262B3B7E" w:rsidR="00357084" w:rsidRDefault="00357084" w:rsidP="00357084">
            <w:pPr>
              <w:spacing w:line="360" w:lineRule="auto"/>
              <w:cnfStyle w:val="000000100000" w:firstRow="0" w:lastRow="0" w:firstColumn="0" w:lastColumn="0" w:oddVBand="0" w:evenVBand="0" w:oddHBand="1" w:evenHBand="0" w:firstRowFirstColumn="0" w:firstRowLastColumn="0" w:lastRowFirstColumn="0" w:lastRowLastColumn="0"/>
            </w:pPr>
            <w:r>
              <w:t>4.5 hours</w:t>
            </w:r>
          </w:p>
        </w:tc>
      </w:tr>
      <w:tr w:rsidR="00357084" w14:paraId="4F4EBEA2" w14:textId="77777777" w:rsidTr="00325BD1">
        <w:tc>
          <w:tcPr>
            <w:cnfStyle w:val="001000000000" w:firstRow="0" w:lastRow="0" w:firstColumn="1" w:lastColumn="0" w:oddVBand="0" w:evenVBand="0" w:oddHBand="0" w:evenHBand="0" w:firstRowFirstColumn="0" w:firstRowLastColumn="0" w:lastRowFirstColumn="0" w:lastRowLastColumn="0"/>
            <w:tcW w:w="1695" w:type="dxa"/>
            <w:vMerge/>
          </w:tcPr>
          <w:p w14:paraId="1301D841" w14:textId="77777777" w:rsidR="00357084" w:rsidRDefault="00357084" w:rsidP="00357084">
            <w:pPr>
              <w:spacing w:line="360" w:lineRule="auto"/>
            </w:pPr>
          </w:p>
        </w:tc>
        <w:tc>
          <w:tcPr>
            <w:tcW w:w="2758" w:type="dxa"/>
          </w:tcPr>
          <w:p w14:paraId="48D1EE1C" w14:textId="753E9144" w:rsidR="00357084" w:rsidRDefault="00357084" w:rsidP="00357084">
            <w:pPr>
              <w:spacing w:line="360" w:lineRule="auto"/>
              <w:cnfStyle w:val="000000000000" w:firstRow="0" w:lastRow="0" w:firstColumn="0" w:lastColumn="0" w:oddVBand="0" w:evenVBand="0" w:oddHBand="0" w:evenHBand="0" w:firstRowFirstColumn="0" w:firstRowLastColumn="0" w:lastRowFirstColumn="0" w:lastRowLastColumn="0"/>
            </w:pPr>
            <w:r>
              <w:t>Mental Health Awareness</w:t>
            </w:r>
          </w:p>
        </w:tc>
        <w:tc>
          <w:tcPr>
            <w:tcW w:w="2641" w:type="dxa"/>
          </w:tcPr>
          <w:p w14:paraId="38A8805D" w14:textId="04BB6846" w:rsidR="00357084" w:rsidRDefault="00357084" w:rsidP="00357084">
            <w:pPr>
              <w:spacing w:line="360" w:lineRule="auto"/>
              <w:cnfStyle w:val="000000000000" w:firstRow="0" w:lastRow="0" w:firstColumn="0" w:lastColumn="0" w:oddVBand="0" w:evenVBand="0" w:oddHBand="0" w:evenHBand="0" w:firstRowFirstColumn="0" w:firstRowLastColumn="0" w:lastRowFirstColumn="0" w:lastRowLastColumn="0"/>
            </w:pPr>
            <w:r>
              <w:t>Online Course</w:t>
            </w:r>
            <w:r w:rsidR="00BA0D35">
              <w:t xml:space="preserve"> on DEVELOP</w:t>
            </w:r>
          </w:p>
        </w:tc>
        <w:tc>
          <w:tcPr>
            <w:tcW w:w="1922" w:type="dxa"/>
          </w:tcPr>
          <w:p w14:paraId="3351419C" w14:textId="04CC41C1" w:rsidR="00357084" w:rsidRDefault="00357084" w:rsidP="00357084">
            <w:pPr>
              <w:spacing w:line="360" w:lineRule="auto"/>
              <w:cnfStyle w:val="000000000000" w:firstRow="0" w:lastRow="0" w:firstColumn="0" w:lastColumn="0" w:oddVBand="0" w:evenVBand="0" w:oddHBand="0" w:evenHBand="0" w:firstRowFirstColumn="0" w:firstRowLastColumn="0" w:lastRowFirstColumn="0" w:lastRowLastColumn="0"/>
            </w:pPr>
            <w:r>
              <w:t>1.5 hours</w:t>
            </w:r>
          </w:p>
        </w:tc>
      </w:tr>
      <w:tr w:rsidR="00357084" w14:paraId="4DC2CBE1"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tcPr>
          <w:p w14:paraId="35C930B5" w14:textId="77777777" w:rsidR="00357084" w:rsidRDefault="00357084" w:rsidP="00357084">
            <w:pPr>
              <w:spacing w:line="360" w:lineRule="auto"/>
            </w:pPr>
          </w:p>
        </w:tc>
        <w:tc>
          <w:tcPr>
            <w:tcW w:w="2758" w:type="dxa"/>
          </w:tcPr>
          <w:p w14:paraId="025E4F72" w14:textId="5391CA4B" w:rsidR="00357084" w:rsidRPr="00B44C1C" w:rsidRDefault="00357084" w:rsidP="00357084">
            <w:pPr>
              <w:spacing w:line="360" w:lineRule="auto"/>
              <w:cnfStyle w:val="000000100000" w:firstRow="0" w:lastRow="0" w:firstColumn="0" w:lastColumn="0" w:oddVBand="0" w:evenVBand="0" w:oddHBand="1" w:evenHBand="0" w:firstRowFirstColumn="0" w:firstRowLastColumn="0" w:lastRowFirstColumn="0" w:lastRowLastColumn="0"/>
            </w:pPr>
            <w:r>
              <w:t>Health and Safety, Data Security</w:t>
            </w:r>
            <w:r w:rsidR="00FE3EB6">
              <w:t>, Inclusion Essentials</w:t>
            </w:r>
          </w:p>
        </w:tc>
        <w:tc>
          <w:tcPr>
            <w:tcW w:w="2641" w:type="dxa"/>
          </w:tcPr>
          <w:p w14:paraId="771A8B06" w14:textId="415629A7" w:rsidR="00357084" w:rsidRDefault="00357084" w:rsidP="00357084">
            <w:pPr>
              <w:spacing w:line="360" w:lineRule="auto"/>
              <w:cnfStyle w:val="000000100000" w:firstRow="0" w:lastRow="0" w:firstColumn="0" w:lastColumn="0" w:oddVBand="0" w:evenVBand="0" w:oddHBand="1" w:evenHBand="0" w:firstRowFirstColumn="0" w:firstRowLastColumn="0" w:lastRowFirstColumn="0" w:lastRowLastColumn="0"/>
            </w:pPr>
            <w:r>
              <w:t>On-line course</w:t>
            </w:r>
            <w:r w:rsidR="008C2C03">
              <w:t>s</w:t>
            </w:r>
            <w:r w:rsidR="00BA0D35">
              <w:t xml:space="preserve"> on DEVELOP</w:t>
            </w:r>
          </w:p>
        </w:tc>
        <w:tc>
          <w:tcPr>
            <w:tcW w:w="1922" w:type="dxa"/>
          </w:tcPr>
          <w:p w14:paraId="50545161" w14:textId="7A470B79" w:rsidR="00357084" w:rsidRDefault="00357084" w:rsidP="00357084">
            <w:pPr>
              <w:spacing w:line="360" w:lineRule="auto"/>
              <w:cnfStyle w:val="000000100000" w:firstRow="0" w:lastRow="0" w:firstColumn="0" w:lastColumn="0" w:oddVBand="0" w:evenVBand="0" w:oddHBand="1" w:evenHBand="0" w:firstRowFirstColumn="0" w:firstRowLastColumn="0" w:lastRowFirstColumn="0" w:lastRowLastColumn="0"/>
            </w:pPr>
            <w:r>
              <w:t>1 hour</w:t>
            </w:r>
          </w:p>
        </w:tc>
      </w:tr>
      <w:tr w:rsidR="00357084" w14:paraId="493858E0" w14:textId="77777777" w:rsidTr="00325BD1">
        <w:tc>
          <w:tcPr>
            <w:cnfStyle w:val="001000000000" w:firstRow="0" w:lastRow="0" w:firstColumn="1" w:lastColumn="0" w:oddVBand="0" w:evenVBand="0" w:oddHBand="0" w:evenHBand="0" w:firstRowFirstColumn="0" w:firstRowLastColumn="0" w:lastRowFirstColumn="0" w:lastRowLastColumn="0"/>
            <w:tcW w:w="1695" w:type="dxa"/>
          </w:tcPr>
          <w:p w14:paraId="35EDEF6E" w14:textId="75991B94" w:rsidR="00357084" w:rsidRDefault="00BA0D35" w:rsidP="00357084">
            <w:pPr>
              <w:spacing w:line="360" w:lineRule="auto"/>
            </w:pPr>
            <w:r>
              <w:lastRenderedPageBreak/>
              <w:t>All Teaching Support Staff</w:t>
            </w:r>
          </w:p>
        </w:tc>
        <w:tc>
          <w:tcPr>
            <w:tcW w:w="2758" w:type="dxa"/>
          </w:tcPr>
          <w:p w14:paraId="04071A7E" w14:textId="039BAB15" w:rsidR="00357084" w:rsidRDefault="00BA0D35" w:rsidP="00357084">
            <w:pPr>
              <w:spacing w:line="360" w:lineRule="auto"/>
              <w:cnfStyle w:val="000000000000" w:firstRow="0" w:lastRow="0" w:firstColumn="0" w:lastColumn="0" w:oddVBand="0" w:evenVBand="0" w:oddHBand="0" w:evenHBand="0" w:firstRowFirstColumn="0" w:firstRowLastColumn="0" w:lastRowFirstColumn="0" w:lastRowLastColumn="0"/>
            </w:pPr>
            <w:r>
              <w:t xml:space="preserve">Specific local </w:t>
            </w:r>
            <w:r w:rsidR="00357084">
              <w:t>Induction</w:t>
            </w:r>
          </w:p>
        </w:tc>
        <w:tc>
          <w:tcPr>
            <w:tcW w:w="2641" w:type="dxa"/>
          </w:tcPr>
          <w:p w14:paraId="1F900AD9" w14:textId="4D0B3350" w:rsidR="00357084" w:rsidRDefault="00357084" w:rsidP="00357084">
            <w:pPr>
              <w:spacing w:line="360" w:lineRule="auto"/>
              <w:cnfStyle w:val="000000000000" w:firstRow="0" w:lastRow="0" w:firstColumn="0" w:lastColumn="0" w:oddVBand="0" w:evenVBand="0" w:oddHBand="0" w:evenHBand="0" w:firstRowFirstColumn="0" w:firstRowLastColumn="0" w:lastRowFirstColumn="0" w:lastRowLastColumn="0"/>
            </w:pPr>
            <w:r>
              <w:t>School/Department</w:t>
            </w:r>
          </w:p>
        </w:tc>
        <w:tc>
          <w:tcPr>
            <w:tcW w:w="1922" w:type="dxa"/>
          </w:tcPr>
          <w:p w14:paraId="73FCEDB6" w14:textId="41BC5583" w:rsidR="00357084" w:rsidRDefault="00357084" w:rsidP="00357084">
            <w:pPr>
              <w:spacing w:line="360" w:lineRule="auto"/>
              <w:cnfStyle w:val="000000000000" w:firstRow="0" w:lastRow="0" w:firstColumn="0" w:lastColumn="0" w:oddVBand="0" w:evenVBand="0" w:oddHBand="0" w:evenHBand="0" w:firstRowFirstColumn="0" w:firstRowLastColumn="0" w:lastRowFirstColumn="0" w:lastRowLastColumn="0"/>
            </w:pPr>
            <w:r>
              <w:t>Confirmed locally</w:t>
            </w:r>
          </w:p>
        </w:tc>
      </w:tr>
      <w:tr w:rsidR="00BA0D35" w14:paraId="6E170EAE" w14:textId="77777777" w:rsidTr="00325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tcPr>
          <w:p w14:paraId="1D0C96A4" w14:textId="652E28C4" w:rsidR="00BA0D35" w:rsidRDefault="00BA0D35" w:rsidP="00BA0D35">
            <w:pPr>
              <w:spacing w:line="360" w:lineRule="auto"/>
            </w:pPr>
            <w:r>
              <w:t>Relevant Teaching Support Staff</w:t>
            </w:r>
          </w:p>
        </w:tc>
        <w:tc>
          <w:tcPr>
            <w:tcW w:w="2758" w:type="dxa"/>
          </w:tcPr>
          <w:p w14:paraId="06FBE055" w14:textId="62AF2595" w:rsidR="00BA0D35" w:rsidRDefault="00BA0D35" w:rsidP="00BA0D35">
            <w:pPr>
              <w:spacing w:line="360" w:lineRule="auto"/>
              <w:cnfStyle w:val="000000100000" w:firstRow="0" w:lastRow="0" w:firstColumn="0" w:lastColumn="0" w:oddVBand="0" w:evenVBand="0" w:oddHBand="1" w:evenHBand="0" w:firstRowFirstColumn="0" w:firstRowLastColumn="0" w:lastRowFirstColumn="0" w:lastRowLastColumn="0"/>
            </w:pPr>
            <w:r>
              <w:t>Additional Relevant Health and Safety courses</w:t>
            </w:r>
          </w:p>
        </w:tc>
        <w:tc>
          <w:tcPr>
            <w:tcW w:w="2641" w:type="dxa"/>
          </w:tcPr>
          <w:p w14:paraId="07D9CCB0" w14:textId="7441A1D0" w:rsidR="00BA0D35" w:rsidRDefault="00BA0D35" w:rsidP="00BA0D35">
            <w:pPr>
              <w:spacing w:line="360" w:lineRule="auto"/>
              <w:cnfStyle w:val="000000100000" w:firstRow="0" w:lastRow="0" w:firstColumn="0" w:lastColumn="0" w:oddVBand="0" w:evenVBand="0" w:oddHBand="1" w:evenHBand="0" w:firstRowFirstColumn="0" w:firstRowLastColumn="0" w:lastRowFirstColumn="0" w:lastRowLastColumn="0"/>
            </w:pPr>
            <w:r>
              <w:t xml:space="preserve"> As identified by School/Department</w:t>
            </w:r>
          </w:p>
        </w:tc>
        <w:tc>
          <w:tcPr>
            <w:tcW w:w="1922" w:type="dxa"/>
          </w:tcPr>
          <w:p w14:paraId="498E2B11" w14:textId="14E99CDB" w:rsidR="00BA0D35" w:rsidRDefault="00BA0D35" w:rsidP="00BA0D35">
            <w:pPr>
              <w:spacing w:line="360" w:lineRule="auto"/>
              <w:cnfStyle w:val="000000100000" w:firstRow="0" w:lastRow="0" w:firstColumn="0" w:lastColumn="0" w:oddVBand="0" w:evenVBand="0" w:oddHBand="1" w:evenHBand="0" w:firstRowFirstColumn="0" w:firstRowLastColumn="0" w:lastRowFirstColumn="0" w:lastRowLastColumn="0"/>
            </w:pPr>
            <w:r>
              <w:t>variable</w:t>
            </w:r>
          </w:p>
        </w:tc>
      </w:tr>
      <w:tr w:rsidR="00BA0D35" w14:paraId="16BEA4C3" w14:textId="77777777" w:rsidTr="00325BD1">
        <w:tc>
          <w:tcPr>
            <w:cnfStyle w:val="001000000000" w:firstRow="0" w:lastRow="0" w:firstColumn="1" w:lastColumn="0" w:oddVBand="0" w:evenVBand="0" w:oddHBand="0" w:evenHBand="0" w:firstRowFirstColumn="0" w:firstRowLastColumn="0" w:lastRowFirstColumn="0" w:lastRowLastColumn="0"/>
            <w:tcW w:w="1695" w:type="dxa"/>
          </w:tcPr>
          <w:p w14:paraId="4514682E" w14:textId="1A438526" w:rsidR="00BA0D35" w:rsidRDefault="00BA0D35" w:rsidP="00BA0D35">
            <w:pPr>
              <w:spacing w:line="360" w:lineRule="auto"/>
            </w:pPr>
            <w:r>
              <w:t>Graduate Teacher - year two onwards</w:t>
            </w:r>
          </w:p>
        </w:tc>
        <w:tc>
          <w:tcPr>
            <w:tcW w:w="2758" w:type="dxa"/>
          </w:tcPr>
          <w:p w14:paraId="3AED86B3" w14:textId="6C915C78" w:rsidR="00BA0D35" w:rsidRDefault="00BA0D35" w:rsidP="00BA0D35">
            <w:pPr>
              <w:spacing w:line="360" w:lineRule="auto"/>
              <w:cnfStyle w:val="000000000000" w:firstRow="0" w:lastRow="0" w:firstColumn="0" w:lastColumn="0" w:oddVBand="0" w:evenVBand="0" w:oddHBand="0" w:evenHBand="0" w:firstRowFirstColumn="0" w:firstRowLastColumn="0" w:lastRowFirstColumn="0" w:lastRowLastColumn="0"/>
            </w:pPr>
            <w:r>
              <w:t>Local Induction (if not already completed in year 1)</w:t>
            </w:r>
          </w:p>
        </w:tc>
        <w:tc>
          <w:tcPr>
            <w:tcW w:w="2641" w:type="dxa"/>
          </w:tcPr>
          <w:p w14:paraId="455560A3" w14:textId="77777777" w:rsidR="00BA0D35" w:rsidRDefault="00BA0D35" w:rsidP="00BA0D35">
            <w:pPr>
              <w:spacing w:line="360" w:lineRule="auto"/>
              <w:cnfStyle w:val="000000000000" w:firstRow="0" w:lastRow="0" w:firstColumn="0" w:lastColumn="0" w:oddVBand="0" w:evenVBand="0" w:oddHBand="0" w:evenHBand="0" w:firstRowFirstColumn="0" w:firstRowLastColumn="0" w:lastRowFirstColumn="0" w:lastRowLastColumn="0"/>
            </w:pPr>
            <w:r>
              <w:t>School/Department</w:t>
            </w:r>
          </w:p>
        </w:tc>
        <w:tc>
          <w:tcPr>
            <w:tcW w:w="1922" w:type="dxa"/>
          </w:tcPr>
          <w:p w14:paraId="77691E5C" w14:textId="6435FE0B" w:rsidR="00BA0D35" w:rsidRDefault="00BA0D35" w:rsidP="00BA0D35">
            <w:pPr>
              <w:spacing w:line="360" w:lineRule="auto"/>
              <w:cnfStyle w:val="000000000000" w:firstRow="0" w:lastRow="0" w:firstColumn="0" w:lastColumn="0" w:oddVBand="0" w:evenVBand="0" w:oddHBand="0" w:evenHBand="0" w:firstRowFirstColumn="0" w:firstRowLastColumn="0" w:lastRowFirstColumn="0" w:lastRowLastColumn="0"/>
            </w:pPr>
            <w:r>
              <w:t>variable</w:t>
            </w:r>
          </w:p>
        </w:tc>
      </w:tr>
    </w:tbl>
    <w:p w14:paraId="6B4FECBF" w14:textId="77777777" w:rsidR="00B90C70" w:rsidRDefault="00B90C70" w:rsidP="00B90C70">
      <w:pPr>
        <w:spacing w:line="360" w:lineRule="auto"/>
      </w:pPr>
    </w:p>
    <w:p w14:paraId="743A4B1A" w14:textId="6759C438" w:rsidR="00B90C70" w:rsidRPr="00996965" w:rsidRDefault="00B90C70" w:rsidP="00996965">
      <w:pPr>
        <w:pStyle w:val="Heading3"/>
        <w:numPr>
          <w:ilvl w:val="0"/>
          <w:numId w:val="3"/>
        </w:numPr>
        <w:spacing w:line="360" w:lineRule="auto"/>
        <w:rPr>
          <w:sz w:val="26"/>
          <w:szCs w:val="26"/>
        </w:rPr>
      </w:pPr>
      <w:r w:rsidRPr="00996965">
        <w:rPr>
          <w:sz w:val="26"/>
          <w:szCs w:val="26"/>
        </w:rPr>
        <w:t>Induction</w:t>
      </w:r>
    </w:p>
    <w:p w14:paraId="7B601E0D" w14:textId="7055CBD2" w:rsidR="00B90C70" w:rsidRDefault="00B90C70" w:rsidP="00B90C70">
      <w:pPr>
        <w:spacing w:line="360" w:lineRule="auto"/>
      </w:pPr>
      <w:r>
        <w:t xml:space="preserve">Schools and Departments </w:t>
      </w:r>
      <w:r w:rsidR="00B46922">
        <w:t>should</w:t>
      </w:r>
      <w:r>
        <w:t xml:space="preserve"> arrange </w:t>
      </w:r>
      <w:r w:rsidR="00BA0D35">
        <w:t xml:space="preserve">additional </w:t>
      </w:r>
      <w:r>
        <w:t>induction</w:t>
      </w:r>
      <w:r w:rsidR="00BA0D35">
        <w:t xml:space="preserve">/orientation to supplement the University programmes identified above. School inductions </w:t>
      </w:r>
      <w:r>
        <w:t>may be online</w:t>
      </w:r>
      <w:r w:rsidR="008C2C03">
        <w:t xml:space="preserve">, via required reading </w:t>
      </w:r>
      <w:r>
        <w:t xml:space="preserve">or </w:t>
      </w:r>
      <w:r w:rsidR="00F07494">
        <w:t>r</w:t>
      </w:r>
      <w:r>
        <w:t>equire</w:t>
      </w:r>
      <w:r w:rsidR="008C2C03">
        <w:t>d</w:t>
      </w:r>
      <w:r>
        <w:t xml:space="preserve"> attendance at an induction event.  </w:t>
      </w:r>
      <w:r w:rsidR="00BA0D35">
        <w:t>Local i</w:t>
      </w:r>
      <w:r>
        <w:t xml:space="preserve">nduction should provide </w:t>
      </w:r>
      <w:r w:rsidR="00BA0D35">
        <w:t xml:space="preserve">supplementary </w:t>
      </w:r>
      <w:r>
        <w:t>information regarding:</w:t>
      </w:r>
    </w:p>
    <w:p w14:paraId="316DD16F" w14:textId="6EB48FE4" w:rsidR="00B90C70" w:rsidRPr="00050789" w:rsidRDefault="00B90C70" w:rsidP="00B90C70">
      <w:pPr>
        <w:pStyle w:val="ListParagraph"/>
        <w:numPr>
          <w:ilvl w:val="0"/>
          <w:numId w:val="4"/>
        </w:numPr>
        <w:spacing w:line="360" w:lineRule="auto"/>
      </w:pPr>
      <w:r w:rsidRPr="00050789">
        <w:t>Local contacts, including academic contacts</w:t>
      </w:r>
      <w:r w:rsidR="008C2C03">
        <w:t xml:space="preserve"> (such as Teaching &amp; Unit Directors)</w:t>
      </w:r>
      <w:r w:rsidRPr="00050789">
        <w:t>, wellbeing contacts for students, and relevant administrative contacts.</w:t>
      </w:r>
    </w:p>
    <w:p w14:paraId="5D085AC7" w14:textId="77777777" w:rsidR="00B90C70" w:rsidRPr="00050789" w:rsidRDefault="00B90C70" w:rsidP="00B90C70">
      <w:pPr>
        <w:pStyle w:val="ListParagraph"/>
        <w:numPr>
          <w:ilvl w:val="0"/>
          <w:numId w:val="4"/>
        </w:numPr>
        <w:spacing w:line="360" w:lineRule="auto"/>
      </w:pPr>
      <w:r w:rsidRPr="00050789">
        <w:t>Availability of hotdesking facilities and any booking process.</w:t>
      </w:r>
    </w:p>
    <w:p w14:paraId="248F5AC3" w14:textId="5C620AA3" w:rsidR="00B90C70" w:rsidRPr="00050789" w:rsidRDefault="00B90C70" w:rsidP="00B90C70">
      <w:pPr>
        <w:pStyle w:val="ListParagraph"/>
        <w:numPr>
          <w:ilvl w:val="0"/>
          <w:numId w:val="4"/>
        </w:numPr>
        <w:spacing w:line="360" w:lineRule="auto"/>
      </w:pPr>
      <w:r w:rsidRPr="00050789">
        <w:t>Local arrangements for office hours.</w:t>
      </w:r>
    </w:p>
    <w:p w14:paraId="553A9B73" w14:textId="25504F3B" w:rsidR="00EE377D" w:rsidRDefault="00B90C70" w:rsidP="00F23A98">
      <w:pPr>
        <w:pStyle w:val="ListParagraph"/>
        <w:numPr>
          <w:ilvl w:val="0"/>
          <w:numId w:val="4"/>
        </w:numPr>
        <w:spacing w:line="360" w:lineRule="auto"/>
      </w:pPr>
      <w:r w:rsidRPr="00050789">
        <w:t>School/Department procedures</w:t>
      </w:r>
      <w:r w:rsidR="00B46922">
        <w:t xml:space="preserve"> and contacts </w:t>
      </w:r>
      <w:r w:rsidRPr="00050789">
        <w:t>relating to pastoral care and student wellbeing</w:t>
      </w:r>
      <w:r w:rsidR="00711330">
        <w:t xml:space="preserve">  </w:t>
      </w:r>
      <w:hyperlink r:id="rId17" w:history="1">
        <w:r w:rsidR="00EE377D">
          <w:rPr>
            <w:rStyle w:val="Hyperlink"/>
          </w:rPr>
          <w:t>Staff Info - Information for staff supporting students (sharepoint.com)</w:t>
        </w:r>
      </w:hyperlink>
    </w:p>
    <w:p w14:paraId="302FB3A8" w14:textId="77777777" w:rsidR="00EE377D" w:rsidRDefault="001A521B" w:rsidP="00EE377D">
      <w:pPr>
        <w:spacing w:line="360" w:lineRule="auto"/>
        <w:ind w:left="360" w:firstLine="360"/>
      </w:pPr>
      <w:hyperlink r:id="rId18" w:history="1">
        <w:r w:rsidR="00EE377D">
          <w:rPr>
            <w:rStyle w:val="Hyperlink"/>
          </w:rPr>
          <w:t>Student support | Current students | University of Bristol</w:t>
        </w:r>
      </w:hyperlink>
    </w:p>
    <w:p w14:paraId="65E1F27D" w14:textId="0AF471FC" w:rsidR="00B90C70" w:rsidRPr="00050789" w:rsidRDefault="00B90C70" w:rsidP="00B90C70">
      <w:pPr>
        <w:pStyle w:val="ListParagraph"/>
        <w:numPr>
          <w:ilvl w:val="0"/>
          <w:numId w:val="4"/>
        </w:numPr>
        <w:spacing w:line="360" w:lineRule="auto"/>
      </w:pPr>
      <w:r w:rsidRPr="00050789">
        <w:t xml:space="preserve">Expectations around </w:t>
      </w:r>
      <w:r w:rsidR="00BA0D35">
        <w:t xml:space="preserve">student </w:t>
      </w:r>
      <w:r w:rsidRPr="00050789">
        <w:t xml:space="preserve">registration </w:t>
      </w:r>
      <w:r w:rsidR="00BA0D35">
        <w:t xml:space="preserve">requirements </w:t>
      </w:r>
      <w:r w:rsidRPr="00050789">
        <w:t>in teaching sessions.</w:t>
      </w:r>
    </w:p>
    <w:p w14:paraId="28208924" w14:textId="178A9409" w:rsidR="00B90C70" w:rsidRPr="00050789" w:rsidRDefault="00BA0D35" w:rsidP="00FE27F6">
      <w:pPr>
        <w:pStyle w:val="ListParagraph"/>
        <w:numPr>
          <w:ilvl w:val="0"/>
          <w:numId w:val="4"/>
        </w:numPr>
        <w:spacing w:line="360" w:lineRule="auto"/>
      </w:pPr>
      <w:r>
        <w:t>School arrangements for teaching o</w:t>
      </w:r>
      <w:r w:rsidR="00B90C70" w:rsidRPr="00050789">
        <w:t>bservation, mentoring and feedback.</w:t>
      </w:r>
    </w:p>
    <w:p w14:paraId="0339FADB" w14:textId="640876E8" w:rsidR="00B90C70" w:rsidRDefault="00B90C70" w:rsidP="00B90C70">
      <w:pPr>
        <w:pStyle w:val="ListParagraph"/>
        <w:numPr>
          <w:ilvl w:val="0"/>
          <w:numId w:val="4"/>
        </w:numPr>
        <w:spacing w:line="360" w:lineRule="auto"/>
      </w:pPr>
      <w:r w:rsidRPr="00050789">
        <w:t>School/Department quality assurance processes</w:t>
      </w:r>
      <w:r w:rsidR="00BA0D35">
        <w:t xml:space="preserve"> and guidelines for marking and assessing students work</w:t>
      </w:r>
      <w:r w:rsidRPr="00050789">
        <w:t>.</w:t>
      </w:r>
    </w:p>
    <w:p w14:paraId="358FE80B" w14:textId="7F3867FB" w:rsidR="00C948BD" w:rsidRDefault="00A9167B" w:rsidP="00B90C70">
      <w:pPr>
        <w:spacing w:line="360" w:lineRule="auto"/>
      </w:pPr>
      <w:r>
        <w:t>You</w:t>
      </w:r>
      <w:r w:rsidR="00B90C70">
        <w:t xml:space="preserve"> should attend a local induction for every School/Department </w:t>
      </w:r>
      <w:r>
        <w:t>you</w:t>
      </w:r>
      <w:r w:rsidR="00B90C70">
        <w:t xml:space="preserve"> are delivering teaching </w:t>
      </w:r>
      <w:proofErr w:type="gramStart"/>
      <w:r w:rsidR="00B46922">
        <w:t>for</w:t>
      </w:r>
      <w:proofErr w:type="gramEnd"/>
      <w:r w:rsidR="003D63CE">
        <w:t xml:space="preserve"> and the duration is at local discretion but attendance time must be paid for</w:t>
      </w:r>
      <w:r w:rsidR="00B90C70">
        <w:t>.</w:t>
      </w:r>
      <w:r w:rsidR="008C2C03">
        <w:t xml:space="preserve"> You may also wish to visit our FAQs here: </w:t>
      </w:r>
      <w:hyperlink r:id="rId19" w:history="1">
        <w:r w:rsidR="00C948BD" w:rsidRPr="00BB409F">
          <w:rPr>
            <w:rStyle w:val="Hyperlink"/>
          </w:rPr>
          <w:t>https://www.bristol.ac.uk/hr/tsr/infotsr/</w:t>
        </w:r>
      </w:hyperlink>
    </w:p>
    <w:p w14:paraId="68FE15A8" w14:textId="77777777" w:rsidR="00B90C70" w:rsidRDefault="00B90C70" w:rsidP="00B90C70">
      <w:pPr>
        <w:pStyle w:val="Heading2"/>
        <w:numPr>
          <w:ilvl w:val="0"/>
          <w:numId w:val="3"/>
        </w:numPr>
        <w:spacing w:line="360" w:lineRule="auto"/>
      </w:pPr>
      <w:bookmarkStart w:id="10" w:name="_Toc31624782"/>
      <w:r>
        <w:t>Observation of Teaching</w:t>
      </w:r>
      <w:bookmarkEnd w:id="10"/>
    </w:p>
    <w:p w14:paraId="4FC78651" w14:textId="1ACB48C4" w:rsidR="00B90C70" w:rsidRPr="006847A4" w:rsidRDefault="00B90C70" w:rsidP="00B90C70">
      <w:pPr>
        <w:spacing w:line="360" w:lineRule="auto"/>
      </w:pPr>
      <w:r>
        <w:t xml:space="preserve">Observation of teaching </w:t>
      </w:r>
      <w:r w:rsidR="00C95C92">
        <w:t xml:space="preserve">should be offered </w:t>
      </w:r>
      <w:r w:rsidR="005D53DE">
        <w:t xml:space="preserve">if you are a </w:t>
      </w:r>
      <w:r w:rsidR="00C95C92">
        <w:t>G</w:t>
      </w:r>
      <w:r>
        <w:t>raduate Teacher</w:t>
      </w:r>
      <w:r w:rsidR="005D53DE">
        <w:t xml:space="preserve"> (</w:t>
      </w:r>
      <w:r w:rsidR="00C95C92">
        <w:t>Level 1 and 2</w:t>
      </w:r>
      <w:r w:rsidR="005D53DE">
        <w:t>)</w:t>
      </w:r>
      <w:r w:rsidR="00C95C92">
        <w:t xml:space="preserve"> </w:t>
      </w:r>
      <w:r w:rsidR="009C108E">
        <w:t>a</w:t>
      </w:r>
      <w:r w:rsidR="00A9167B">
        <w:t xml:space="preserve">s this </w:t>
      </w:r>
      <w:r w:rsidR="009C108E">
        <w:t>provides</w:t>
      </w:r>
      <w:r>
        <w:t xml:space="preserve"> valuable feedback on </w:t>
      </w:r>
      <w:r w:rsidR="00A9167B">
        <w:t>your</w:t>
      </w:r>
      <w:r>
        <w:t xml:space="preserve"> teaching practices, as well as contribut</w:t>
      </w:r>
      <w:r w:rsidR="005D53DE">
        <w:t>es</w:t>
      </w:r>
      <w:r>
        <w:t xml:space="preserve"> to local quality </w:t>
      </w:r>
      <w:r>
        <w:lastRenderedPageBreak/>
        <w:t xml:space="preserve">assurance processes.  Each Graduate Teacher should be observed teaching at least once in each teaching block in which </w:t>
      </w:r>
      <w:r w:rsidR="005D53DE">
        <w:t>you</w:t>
      </w:r>
      <w:r>
        <w:t xml:space="preserve"> work and provided with constructive feedback</w:t>
      </w:r>
      <w:r w:rsidR="00B46922">
        <w:t xml:space="preserve"> for example by either the programme or unit director, or the co-teacher on the unit, depending upon local circumstances</w:t>
      </w:r>
      <w:r>
        <w:t>.</w:t>
      </w:r>
    </w:p>
    <w:p w14:paraId="3478B5C1" w14:textId="77777777" w:rsidR="00B90C70" w:rsidRDefault="00B90C70" w:rsidP="00B90C70">
      <w:pPr>
        <w:pStyle w:val="Heading2"/>
        <w:numPr>
          <w:ilvl w:val="0"/>
          <w:numId w:val="3"/>
        </w:numPr>
        <w:spacing w:line="360" w:lineRule="auto"/>
      </w:pPr>
      <w:bookmarkStart w:id="11" w:name="_Toc31624783"/>
      <w:r>
        <w:t>Mentoring and Other Support</w:t>
      </w:r>
      <w:bookmarkEnd w:id="11"/>
    </w:p>
    <w:p w14:paraId="094221F6" w14:textId="484F6DFB" w:rsidR="00B90C70" w:rsidRDefault="00B90C70" w:rsidP="00B90C70">
      <w:pPr>
        <w:spacing w:line="360" w:lineRule="auto"/>
      </w:pPr>
      <w:r>
        <w:t xml:space="preserve">Each Graduate Teacher </w:t>
      </w:r>
      <w:r w:rsidR="009C108E">
        <w:t xml:space="preserve">at Level 1 &amp; 2 </w:t>
      </w:r>
      <w:r>
        <w:t xml:space="preserve">should </w:t>
      </w:r>
      <w:r w:rsidR="00B46922">
        <w:t xml:space="preserve">also </w:t>
      </w:r>
      <w:r>
        <w:t xml:space="preserve">be </w:t>
      </w:r>
      <w:r w:rsidR="00B46922">
        <w:t xml:space="preserve">given the opportunity to be </w:t>
      </w:r>
      <w:r>
        <w:t>mentored by a member of academic staff</w:t>
      </w:r>
      <w:r w:rsidR="00B46922">
        <w:t xml:space="preserve"> who can </w:t>
      </w:r>
      <w:r>
        <w:t>provid</w:t>
      </w:r>
      <w:r w:rsidR="009C108E">
        <w:t>e</w:t>
      </w:r>
      <w:r>
        <w:t xml:space="preserve"> </w:t>
      </w:r>
      <w:r w:rsidR="009C0F16">
        <w:t>you</w:t>
      </w:r>
      <w:r>
        <w:t xml:space="preserve"> with </w:t>
      </w:r>
      <w:r w:rsidR="00B46922">
        <w:t xml:space="preserve">advice and guidance </w:t>
      </w:r>
      <w:r>
        <w:t xml:space="preserve">on </w:t>
      </w:r>
      <w:r w:rsidR="009C0F16">
        <w:t>your</w:t>
      </w:r>
      <w:r>
        <w:t xml:space="preserve"> teaching as well as providing guidance on assessment. </w:t>
      </w:r>
    </w:p>
    <w:p w14:paraId="491D9051" w14:textId="77777777" w:rsidR="00B90C70" w:rsidRDefault="00B90C70" w:rsidP="00B90C70">
      <w:pPr>
        <w:pStyle w:val="Heading2"/>
        <w:numPr>
          <w:ilvl w:val="0"/>
          <w:numId w:val="3"/>
        </w:numPr>
        <w:spacing w:line="360" w:lineRule="auto"/>
      </w:pPr>
      <w:bookmarkStart w:id="12" w:name="_Toc31624784"/>
      <w:r>
        <w:t>Additional Training</w:t>
      </w:r>
      <w:bookmarkEnd w:id="12"/>
    </w:p>
    <w:p w14:paraId="0F363B07" w14:textId="6D7CAFC4" w:rsidR="004E2AF4" w:rsidRDefault="00B90C70" w:rsidP="00B90C70">
      <w:pPr>
        <w:spacing w:line="360" w:lineRule="auto"/>
      </w:pPr>
      <w:r>
        <w:t xml:space="preserve">As well as the mandatory training there are several other training courses and resources to help </w:t>
      </w:r>
      <w:r w:rsidR="009C108E">
        <w:t>Teaching Support Staff</w:t>
      </w:r>
      <w:r>
        <w:t xml:space="preserve"> develop their teaching practice.  </w:t>
      </w:r>
      <w:r w:rsidR="004E2AF4">
        <w:t xml:space="preserve">Full details of programmes that are available can be found at this link </w:t>
      </w:r>
      <w:hyperlink r:id="rId20" w:history="1">
        <w:r w:rsidR="004E2AF4">
          <w:rPr>
            <w:rStyle w:val="Hyperlink"/>
          </w:rPr>
          <w:t xml:space="preserve">PGRs | Bristol Institute </w:t>
        </w:r>
        <w:proofErr w:type="gramStart"/>
        <w:r w:rsidR="004E2AF4">
          <w:rPr>
            <w:rStyle w:val="Hyperlink"/>
          </w:rPr>
          <w:t>For</w:t>
        </w:r>
        <w:proofErr w:type="gramEnd"/>
        <w:r w:rsidR="004E2AF4">
          <w:rPr>
            <w:rStyle w:val="Hyperlink"/>
          </w:rPr>
          <w:t xml:space="preserve"> Learning and Teaching | University of Bristol</w:t>
        </w:r>
      </w:hyperlink>
    </w:p>
    <w:p w14:paraId="0E3644E0" w14:textId="63A6C75E" w:rsidR="00B90C70" w:rsidRDefault="00B90C70" w:rsidP="00B90C70">
      <w:pPr>
        <w:spacing w:line="360" w:lineRule="auto"/>
      </w:pPr>
      <w:r>
        <w:t>As</w:t>
      </w:r>
      <w:r w:rsidR="004E2AF4">
        <w:t xml:space="preserve"> this</w:t>
      </w:r>
      <w:r w:rsidR="003D63CE">
        <w:t xml:space="preserve"> </w:t>
      </w:r>
      <w:r>
        <w:t xml:space="preserve">is optional training, </w:t>
      </w:r>
      <w:r w:rsidR="009C0F16">
        <w:t>you</w:t>
      </w:r>
      <w:r>
        <w:t xml:space="preserve"> </w:t>
      </w:r>
      <w:r w:rsidR="0015254C">
        <w:t>cannot claim any additional hours on your timesheets.</w:t>
      </w:r>
      <w:r>
        <w:t xml:space="preserve">  </w:t>
      </w:r>
    </w:p>
    <w:p w14:paraId="57E185E3" w14:textId="77777777" w:rsidR="00B90C70" w:rsidRDefault="00B90C70" w:rsidP="00B90C70">
      <w:pPr>
        <w:pStyle w:val="Heading2"/>
        <w:numPr>
          <w:ilvl w:val="0"/>
          <w:numId w:val="3"/>
        </w:numPr>
        <w:spacing w:line="360" w:lineRule="auto"/>
      </w:pPr>
      <w:bookmarkStart w:id="13" w:name="_Toc31624785"/>
      <w:r>
        <w:t>Annual Review and Development</w:t>
      </w:r>
      <w:bookmarkEnd w:id="13"/>
    </w:p>
    <w:p w14:paraId="292AA276" w14:textId="4218266E" w:rsidR="00B90C70" w:rsidRDefault="00B90C70" w:rsidP="0063441F">
      <w:pPr>
        <w:spacing w:line="360" w:lineRule="auto"/>
      </w:pPr>
      <w:r>
        <w:t xml:space="preserve">A PGR student’s experience of teaching, and any related skills development, should be discussed as part of the review of </w:t>
      </w:r>
      <w:r w:rsidR="009C0F16">
        <w:t>your</w:t>
      </w:r>
      <w:r>
        <w:t xml:space="preserve"> development and progress, in line with the requirements for Annual Progress Review as set out in the University’s Regulations and Code of Practice for Research Degree Programmes.</w:t>
      </w:r>
    </w:p>
    <w:p w14:paraId="54505FDB" w14:textId="726DD441" w:rsidR="004E623C" w:rsidRDefault="004E623C" w:rsidP="00996965">
      <w:pPr>
        <w:pStyle w:val="Heading1"/>
        <w:numPr>
          <w:ilvl w:val="0"/>
          <w:numId w:val="29"/>
        </w:numPr>
        <w:spacing w:line="360" w:lineRule="auto"/>
      </w:pPr>
      <w:bookmarkStart w:id="14" w:name="_Toc33608139"/>
      <w:r>
        <w:t xml:space="preserve">How are </w:t>
      </w:r>
      <w:r w:rsidR="009C108E">
        <w:t xml:space="preserve">Teaching Support Staff </w:t>
      </w:r>
      <w:r>
        <w:t>paid?</w:t>
      </w:r>
      <w:bookmarkEnd w:id="14"/>
    </w:p>
    <w:p w14:paraId="2A7A2B2D" w14:textId="695ACEDC" w:rsidR="004E623C" w:rsidRDefault="004E623C" w:rsidP="004E623C">
      <w:pPr>
        <w:pStyle w:val="Heading2"/>
        <w:numPr>
          <w:ilvl w:val="0"/>
          <w:numId w:val="15"/>
        </w:numPr>
        <w:spacing w:line="360" w:lineRule="auto"/>
      </w:pPr>
      <w:bookmarkStart w:id="15" w:name="_Toc33608140"/>
      <w:r>
        <w:t>Submitting a claim</w:t>
      </w:r>
      <w:bookmarkEnd w:id="15"/>
    </w:p>
    <w:p w14:paraId="2EE925CA" w14:textId="1A25648F" w:rsidR="009C108E" w:rsidRPr="009C108E" w:rsidRDefault="009C108E" w:rsidP="00614E8B">
      <w:pPr>
        <w:pStyle w:val="ListParagraph"/>
        <w:numPr>
          <w:ilvl w:val="1"/>
          <w:numId w:val="22"/>
        </w:numPr>
        <w:spacing w:line="360" w:lineRule="auto"/>
        <w:ind w:left="720"/>
        <w:rPr>
          <w:rFonts w:cstheme="minorHAnsi"/>
        </w:rPr>
      </w:pPr>
      <w:r w:rsidRPr="009C108E">
        <w:rPr>
          <w:rFonts w:cstheme="minorHAnsi"/>
        </w:rPr>
        <w:t xml:space="preserve">Teaching Support Staff are not paid automatically based on their contracted hours, but </w:t>
      </w:r>
      <w:proofErr w:type="gramStart"/>
      <w:r w:rsidRPr="009C108E">
        <w:rPr>
          <w:rFonts w:cstheme="minorHAnsi"/>
        </w:rPr>
        <w:t>on the basis of</w:t>
      </w:r>
      <w:proofErr w:type="gramEnd"/>
      <w:r w:rsidRPr="009C108E">
        <w:rPr>
          <w:rFonts w:cstheme="minorHAnsi"/>
        </w:rPr>
        <w:t xml:space="preserve"> a claim form submitted for the actual hours worked.  The TSR claim form is a </w:t>
      </w:r>
      <w:proofErr w:type="spellStart"/>
      <w:r w:rsidRPr="009C108E">
        <w:rPr>
          <w:rFonts w:cstheme="minorHAnsi"/>
        </w:rPr>
        <w:t>MyERP</w:t>
      </w:r>
      <w:proofErr w:type="spellEnd"/>
      <w:r w:rsidRPr="009C108E">
        <w:rPr>
          <w:rFonts w:cstheme="minorHAnsi"/>
        </w:rPr>
        <w:t xml:space="preserve"> form and full details on how to use this are set out on the </w:t>
      </w:r>
      <w:proofErr w:type="spellStart"/>
      <w:r w:rsidRPr="009C108E">
        <w:rPr>
          <w:rFonts w:cstheme="minorHAnsi"/>
        </w:rPr>
        <w:t>MyERP</w:t>
      </w:r>
      <w:proofErr w:type="spellEnd"/>
      <w:r w:rsidRPr="009C108E">
        <w:rPr>
          <w:rFonts w:cstheme="minorHAnsi"/>
        </w:rPr>
        <w:t xml:space="preserve"> Support </w:t>
      </w:r>
      <w:proofErr w:type="spellStart"/>
      <w:r w:rsidRPr="009C108E">
        <w:rPr>
          <w:rFonts w:cstheme="minorHAnsi"/>
        </w:rPr>
        <w:t>sharepoint</w:t>
      </w:r>
      <w:proofErr w:type="spellEnd"/>
      <w:r w:rsidRPr="009C108E">
        <w:rPr>
          <w:rFonts w:cstheme="minorHAnsi"/>
        </w:rPr>
        <w:t xml:space="preserve"> site, see </w:t>
      </w:r>
      <w:hyperlink r:id="rId21" w:history="1">
        <w:r w:rsidRPr="009C108E">
          <w:rPr>
            <w:rStyle w:val="Heading5Char"/>
            <w:rFonts w:asciiTheme="minorHAnsi" w:hAnsiTheme="minorHAnsi" w:cstheme="minorHAnsi"/>
          </w:rPr>
          <w:t>Getting paid&gt;HPTs&gt;Claim fees</w:t>
        </w:r>
      </w:hyperlink>
    </w:p>
    <w:p w14:paraId="415B8D86" w14:textId="0DD540AA" w:rsidR="009C108E" w:rsidRPr="009C108E" w:rsidRDefault="009C108E" w:rsidP="00614E8B">
      <w:pPr>
        <w:pStyle w:val="ListParagraph"/>
        <w:numPr>
          <w:ilvl w:val="1"/>
          <w:numId w:val="22"/>
        </w:numPr>
        <w:spacing w:line="360" w:lineRule="auto"/>
        <w:ind w:left="720"/>
        <w:rPr>
          <w:rFonts w:cstheme="minorHAnsi"/>
        </w:rPr>
      </w:pPr>
      <w:r w:rsidRPr="009C108E">
        <w:rPr>
          <w:rFonts w:cstheme="minorHAnsi"/>
        </w:rPr>
        <w:t xml:space="preserve">It is essential that </w:t>
      </w:r>
      <w:r w:rsidR="005D53DE">
        <w:rPr>
          <w:rFonts w:cstheme="minorHAnsi"/>
        </w:rPr>
        <w:t xml:space="preserve">your </w:t>
      </w:r>
      <w:r w:rsidRPr="009C108E">
        <w:rPr>
          <w:rFonts w:cstheme="minorHAnsi"/>
        </w:rPr>
        <w:t xml:space="preserve">claims are submitted </w:t>
      </w:r>
      <w:proofErr w:type="gramStart"/>
      <w:r w:rsidRPr="009C108E">
        <w:rPr>
          <w:rFonts w:cstheme="minorHAnsi"/>
        </w:rPr>
        <w:t>on a monthly basis</w:t>
      </w:r>
      <w:proofErr w:type="gramEnd"/>
      <w:r w:rsidRPr="009C108E">
        <w:rPr>
          <w:rFonts w:cstheme="minorHAnsi"/>
        </w:rPr>
        <w:t xml:space="preserve"> for work completed in the previous month, by the appropriate deadline.  See Finance Office guidance </w:t>
      </w:r>
      <w:hyperlink r:id="rId22" w:history="1">
        <w:r w:rsidRPr="009C108E">
          <w:rPr>
            <w:rStyle w:val="Heading5Char"/>
            <w:rFonts w:asciiTheme="minorHAnsi" w:hAnsiTheme="minorHAnsi" w:cstheme="minorHAnsi"/>
          </w:rPr>
          <w:t>https://www.bris.ac.uk/finance/staff/info-resources/payroll-deadlines.xlsx</w:t>
        </w:r>
      </w:hyperlink>
      <w:r w:rsidRPr="009C108E">
        <w:rPr>
          <w:rFonts w:cstheme="minorHAnsi"/>
        </w:rPr>
        <w:t xml:space="preserve"> for deadlines and timescales associated with claims and payments.  This is very important in terms of HRMC regulations and the accuracy of the University’s reporting and critical in terms of monitoring adherence to visa restrictions in the case of Tier 4 student workers.  Failure to submit claims on a timely basis could lead to unnecessary concerns and investigations.</w:t>
      </w:r>
    </w:p>
    <w:p w14:paraId="70513108" w14:textId="06AD7A30" w:rsidR="009C108E" w:rsidRPr="009C108E" w:rsidRDefault="009C108E" w:rsidP="00614E8B">
      <w:pPr>
        <w:pStyle w:val="ListParagraph"/>
        <w:numPr>
          <w:ilvl w:val="0"/>
          <w:numId w:val="13"/>
        </w:numPr>
        <w:spacing w:line="360" w:lineRule="auto"/>
        <w:rPr>
          <w:rFonts w:cstheme="minorHAnsi"/>
        </w:rPr>
      </w:pPr>
      <w:r w:rsidRPr="009C108E">
        <w:rPr>
          <w:rFonts w:cstheme="minorHAnsi"/>
        </w:rPr>
        <w:lastRenderedPageBreak/>
        <w:t xml:space="preserve">It is also a contractual requirement that claims are submitted </w:t>
      </w:r>
      <w:proofErr w:type="gramStart"/>
      <w:r w:rsidRPr="009C108E">
        <w:rPr>
          <w:rFonts w:cstheme="minorHAnsi"/>
        </w:rPr>
        <w:t>on a monthly basis</w:t>
      </w:r>
      <w:proofErr w:type="gramEnd"/>
      <w:r w:rsidRPr="009C108E">
        <w:rPr>
          <w:rFonts w:cstheme="minorHAnsi"/>
        </w:rPr>
        <w:t xml:space="preserve">, and </w:t>
      </w:r>
      <w:r w:rsidR="00415793">
        <w:rPr>
          <w:rFonts w:cstheme="minorHAnsi"/>
        </w:rPr>
        <w:t>you are required t</w:t>
      </w:r>
      <w:r w:rsidRPr="009C108E">
        <w:rPr>
          <w:rFonts w:cstheme="minorHAnsi"/>
        </w:rPr>
        <w:t xml:space="preserve">o do this </w:t>
      </w:r>
      <w:r w:rsidR="00415793">
        <w:rPr>
          <w:rFonts w:cstheme="minorHAnsi"/>
        </w:rPr>
        <w:t>using the</w:t>
      </w:r>
      <w:r w:rsidRPr="009C108E">
        <w:rPr>
          <w:rFonts w:cstheme="minorHAnsi"/>
        </w:rPr>
        <w:t xml:space="preserve"> link in </w:t>
      </w:r>
      <w:r w:rsidR="00415793">
        <w:rPr>
          <w:rFonts w:cstheme="minorHAnsi"/>
        </w:rPr>
        <w:t>your</w:t>
      </w:r>
      <w:r w:rsidRPr="009C108E">
        <w:rPr>
          <w:rFonts w:cstheme="minorHAnsi"/>
        </w:rPr>
        <w:t xml:space="preserve"> TSR Contract and the TSR Welcome alert.  </w:t>
      </w:r>
    </w:p>
    <w:p w14:paraId="75D2FA90" w14:textId="2A279B55" w:rsidR="009C108E" w:rsidRPr="009C108E" w:rsidRDefault="00415793" w:rsidP="00614E8B">
      <w:pPr>
        <w:pStyle w:val="ListParagraph"/>
        <w:numPr>
          <w:ilvl w:val="0"/>
          <w:numId w:val="13"/>
        </w:numPr>
        <w:spacing w:line="360" w:lineRule="auto"/>
        <w:rPr>
          <w:rFonts w:cstheme="minorHAnsi"/>
        </w:rPr>
      </w:pPr>
      <w:r>
        <w:rPr>
          <w:rFonts w:cstheme="minorHAnsi"/>
        </w:rPr>
        <w:t xml:space="preserve">You complete your </w:t>
      </w:r>
      <w:r w:rsidR="009C108E" w:rsidRPr="009C108E">
        <w:rPr>
          <w:rFonts w:cstheme="minorHAnsi"/>
        </w:rPr>
        <w:t>contracted hours and at the end of each month worked</w:t>
      </w:r>
      <w:r>
        <w:rPr>
          <w:rFonts w:cstheme="minorHAnsi"/>
        </w:rPr>
        <w:t xml:space="preserve"> you </w:t>
      </w:r>
      <w:r w:rsidR="009C108E" w:rsidRPr="009C108E">
        <w:rPr>
          <w:rFonts w:cstheme="minorHAnsi"/>
        </w:rPr>
        <w:t xml:space="preserve">complete the </w:t>
      </w:r>
      <w:proofErr w:type="spellStart"/>
      <w:r w:rsidR="009C108E" w:rsidRPr="009C108E">
        <w:rPr>
          <w:rFonts w:cstheme="minorHAnsi"/>
        </w:rPr>
        <w:t>MyERP</w:t>
      </w:r>
      <w:proofErr w:type="spellEnd"/>
      <w:r w:rsidR="009C108E" w:rsidRPr="009C108E">
        <w:rPr>
          <w:rFonts w:cstheme="minorHAnsi"/>
        </w:rPr>
        <w:t xml:space="preserve"> TSR Claim Form. See “Entering an TSR Claim Form” section of the </w:t>
      </w:r>
      <w:proofErr w:type="spellStart"/>
      <w:r w:rsidR="009C108E" w:rsidRPr="009C108E">
        <w:rPr>
          <w:rFonts w:cstheme="minorHAnsi"/>
        </w:rPr>
        <w:t>MyERP</w:t>
      </w:r>
      <w:proofErr w:type="spellEnd"/>
      <w:r w:rsidR="009C108E" w:rsidRPr="009C108E">
        <w:rPr>
          <w:rFonts w:cstheme="minorHAnsi"/>
        </w:rPr>
        <w:t xml:space="preserve"> Support </w:t>
      </w:r>
      <w:proofErr w:type="spellStart"/>
      <w:r w:rsidR="009C108E" w:rsidRPr="009C108E">
        <w:rPr>
          <w:rFonts w:cstheme="minorHAnsi"/>
        </w:rPr>
        <w:t>sharepoint</w:t>
      </w:r>
      <w:proofErr w:type="spellEnd"/>
      <w:r w:rsidR="009C108E" w:rsidRPr="009C108E">
        <w:rPr>
          <w:rFonts w:cstheme="minorHAnsi"/>
        </w:rPr>
        <w:t xml:space="preserve"> page at </w:t>
      </w:r>
      <w:hyperlink r:id="rId23" w:history="1">
        <w:r w:rsidR="009C108E" w:rsidRPr="009C108E">
          <w:rPr>
            <w:rStyle w:val="Heading5Char"/>
            <w:rFonts w:asciiTheme="minorHAnsi" w:hAnsiTheme="minorHAnsi" w:cstheme="minorHAnsi"/>
          </w:rPr>
          <w:t>Getting paid&gt;HPTs&gt;Claim fees</w:t>
        </w:r>
      </w:hyperlink>
      <w:r w:rsidR="009C108E" w:rsidRPr="009C108E">
        <w:rPr>
          <w:rFonts w:cstheme="minorHAnsi"/>
        </w:rPr>
        <w:t>.</w:t>
      </w:r>
    </w:p>
    <w:p w14:paraId="39E34D7D" w14:textId="512E84DC" w:rsidR="009C108E" w:rsidRPr="009C108E" w:rsidRDefault="009C108E" w:rsidP="00614E8B">
      <w:pPr>
        <w:pStyle w:val="ListParagraph"/>
        <w:numPr>
          <w:ilvl w:val="0"/>
          <w:numId w:val="13"/>
        </w:numPr>
        <w:spacing w:line="360" w:lineRule="auto"/>
        <w:rPr>
          <w:rFonts w:cstheme="minorHAnsi"/>
        </w:rPr>
      </w:pPr>
      <w:r w:rsidRPr="009C108E">
        <w:rPr>
          <w:rFonts w:cstheme="minorHAnsi"/>
        </w:rPr>
        <w:t>If the School requires additional information from</w:t>
      </w:r>
      <w:r w:rsidR="00415793">
        <w:rPr>
          <w:rFonts w:cstheme="minorHAnsi"/>
        </w:rPr>
        <w:t xml:space="preserve"> you</w:t>
      </w:r>
      <w:r w:rsidRPr="009C108E">
        <w:rPr>
          <w:rFonts w:cstheme="minorHAnsi"/>
        </w:rPr>
        <w:t xml:space="preserve"> to inform approval of claims, </w:t>
      </w:r>
      <w:proofErr w:type="gramStart"/>
      <w:r w:rsidRPr="009C108E">
        <w:rPr>
          <w:rFonts w:cstheme="minorHAnsi"/>
        </w:rPr>
        <w:t>e.g.</w:t>
      </w:r>
      <w:proofErr w:type="gramEnd"/>
      <w:r w:rsidRPr="009C108E">
        <w:rPr>
          <w:rFonts w:cstheme="minorHAnsi"/>
        </w:rPr>
        <w:t xml:space="preserve"> which unit the teaching relates to, </w:t>
      </w:r>
      <w:r w:rsidR="00415793">
        <w:rPr>
          <w:rFonts w:cstheme="minorHAnsi"/>
        </w:rPr>
        <w:t>you</w:t>
      </w:r>
      <w:r w:rsidRPr="009C108E">
        <w:rPr>
          <w:rFonts w:cstheme="minorHAnsi"/>
        </w:rPr>
        <w:t xml:space="preserve"> can use the ‘comments’ field on the claim for</w:t>
      </w:r>
      <w:r w:rsidR="00415793">
        <w:rPr>
          <w:rFonts w:cstheme="minorHAnsi"/>
        </w:rPr>
        <w:t>m</w:t>
      </w:r>
      <w:r w:rsidRPr="009C108E">
        <w:rPr>
          <w:rFonts w:cstheme="minorHAnsi"/>
        </w:rPr>
        <w:t xml:space="preserve"> to provide this. </w:t>
      </w:r>
    </w:p>
    <w:p w14:paraId="602092E5" w14:textId="40A7EECB" w:rsidR="009C108E" w:rsidRPr="009C108E" w:rsidRDefault="009C108E" w:rsidP="00614E8B">
      <w:pPr>
        <w:pStyle w:val="ListParagraph"/>
        <w:numPr>
          <w:ilvl w:val="0"/>
          <w:numId w:val="13"/>
        </w:numPr>
        <w:spacing w:line="360" w:lineRule="auto"/>
        <w:rPr>
          <w:rFonts w:cstheme="minorHAnsi"/>
        </w:rPr>
      </w:pPr>
      <w:r w:rsidRPr="009C108E">
        <w:rPr>
          <w:rFonts w:cstheme="minorHAnsi"/>
        </w:rPr>
        <w:t xml:space="preserve">The final pay claim must be made before </w:t>
      </w:r>
      <w:r w:rsidR="00415793">
        <w:rPr>
          <w:rFonts w:cstheme="minorHAnsi"/>
        </w:rPr>
        <w:t>your</w:t>
      </w:r>
      <w:r w:rsidRPr="009C108E">
        <w:rPr>
          <w:rFonts w:cstheme="minorHAnsi"/>
        </w:rPr>
        <w:t xml:space="preserve"> contract end date as </w:t>
      </w:r>
      <w:r w:rsidR="00415793">
        <w:rPr>
          <w:rFonts w:cstheme="minorHAnsi"/>
        </w:rPr>
        <w:t>you may</w:t>
      </w:r>
      <w:r w:rsidRPr="009C108E">
        <w:rPr>
          <w:rFonts w:cstheme="minorHAnsi"/>
        </w:rPr>
        <w:t xml:space="preserve"> not have access to </w:t>
      </w:r>
      <w:proofErr w:type="spellStart"/>
      <w:r w:rsidRPr="009C108E">
        <w:rPr>
          <w:rFonts w:cstheme="minorHAnsi"/>
        </w:rPr>
        <w:t>MyERP</w:t>
      </w:r>
      <w:proofErr w:type="spellEnd"/>
      <w:r w:rsidRPr="009C108E">
        <w:rPr>
          <w:rFonts w:cstheme="minorHAnsi"/>
        </w:rPr>
        <w:t xml:space="preserve"> after that date.  </w:t>
      </w:r>
    </w:p>
    <w:tbl>
      <w:tblPr>
        <w:tblStyle w:val="GridTable5Dark-Accent1"/>
        <w:tblW w:w="4768" w:type="pct"/>
        <w:tblInd w:w="421"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726"/>
        <w:gridCol w:w="7872"/>
      </w:tblGrid>
      <w:tr w:rsidR="009C108E" w:rsidRPr="00436021" w14:paraId="312D6F6C" w14:textId="77777777" w:rsidTr="00415793">
        <w:trPr>
          <w:cnfStyle w:val="100000000000" w:firstRow="1" w:lastRow="0" w:firstColumn="0" w:lastColumn="0" w:oddVBand="0" w:evenVBand="0" w:oddHBand="0"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211" w:type="pct"/>
            <w:vAlign w:val="center"/>
          </w:tcPr>
          <w:p w14:paraId="5CB036E7" w14:textId="77777777" w:rsidR="009C108E" w:rsidRPr="00436021" w:rsidRDefault="009C108E" w:rsidP="00614E8B">
            <w:pPr>
              <w:spacing w:line="360" w:lineRule="auto"/>
              <w:rPr>
                <w:rFonts w:cstheme="minorHAnsi"/>
                <w:highlight w:val="lightGray"/>
              </w:rPr>
            </w:pPr>
            <w:r w:rsidRPr="00436021">
              <w:rPr>
                <w:rFonts w:cstheme="minorHAnsi"/>
                <w:noProof/>
                <w:lang w:eastAsia="en-GB"/>
              </w:rPr>
              <w:drawing>
                <wp:inline distT="0" distB="0" distL="0" distR="0" wp14:anchorId="0B44E3AB" wp14:editId="6CDED60F">
                  <wp:extent cx="323850" cy="323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_RED_SMALL.jpg"/>
                          <pic:cNvPicPr/>
                        </pic:nvPicPr>
                        <pic:blipFill>
                          <a:blip r:embed="rId24" cstate="print">
                            <a:extLst>
                              <a:ext uri="{28A0092B-C50C-407E-A947-70E740481C1C}">
                                <a14:useLocalDpi xmlns:a14="http://schemas.microsoft.com/office/drawing/2010/main" val="0"/>
                              </a:ext>
                            </a:extLst>
                          </a:blip>
                          <a:stretch>
                            <a:fillRect/>
                          </a:stretch>
                        </pic:blipFill>
                        <pic:spPr>
                          <a:xfrm rot="10800000">
                            <a:off x="0" y="0"/>
                            <a:ext cx="323850" cy="323850"/>
                          </a:xfrm>
                          <a:prstGeom prst="rect">
                            <a:avLst/>
                          </a:prstGeom>
                        </pic:spPr>
                      </pic:pic>
                    </a:graphicData>
                  </a:graphic>
                </wp:inline>
              </w:drawing>
            </w:r>
          </w:p>
        </w:tc>
        <w:tc>
          <w:tcPr>
            <w:tcW w:w="4789" w:type="pct"/>
            <w:vAlign w:val="center"/>
          </w:tcPr>
          <w:p w14:paraId="6F372258" w14:textId="66BC2F2F" w:rsidR="009C108E" w:rsidRPr="00436021" w:rsidRDefault="009C108E" w:rsidP="00614E8B">
            <w:pPr>
              <w:spacing w:line="360" w:lineRule="auto"/>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Note,</w:t>
            </w:r>
            <w:r w:rsidR="00415793">
              <w:rPr>
                <w:rFonts w:cstheme="minorHAnsi"/>
              </w:rPr>
              <w:t xml:space="preserve"> if you are w</w:t>
            </w:r>
            <w:r>
              <w:rPr>
                <w:rFonts w:cstheme="minorHAnsi"/>
              </w:rPr>
              <w:t>orking on a Tier 4 visa</w:t>
            </w:r>
            <w:r w:rsidR="00415793">
              <w:rPr>
                <w:rFonts w:cstheme="minorHAnsi"/>
              </w:rPr>
              <w:t xml:space="preserve">, you must </w:t>
            </w:r>
            <w:r>
              <w:rPr>
                <w:rFonts w:cstheme="minorHAnsi"/>
              </w:rPr>
              <w:t xml:space="preserve">not work more than 20 hours per week. Please note that the </w:t>
            </w:r>
            <w:proofErr w:type="gramStart"/>
            <w:r>
              <w:rPr>
                <w:rFonts w:cstheme="minorHAnsi"/>
              </w:rPr>
              <w:t>20 hour</w:t>
            </w:r>
            <w:proofErr w:type="gramEnd"/>
            <w:r>
              <w:rPr>
                <w:rFonts w:cstheme="minorHAnsi"/>
              </w:rPr>
              <w:t xml:space="preserve"> limitation is per week and cannot be averaged over any other period.</w:t>
            </w:r>
          </w:p>
        </w:tc>
      </w:tr>
    </w:tbl>
    <w:p w14:paraId="656B55C5" w14:textId="77777777" w:rsidR="00415793" w:rsidRPr="00415793" w:rsidRDefault="00415793" w:rsidP="00415793">
      <w:pPr>
        <w:spacing w:line="360" w:lineRule="auto"/>
        <w:ind w:left="360"/>
        <w:rPr>
          <w:rFonts w:cstheme="minorHAnsi"/>
        </w:rPr>
      </w:pPr>
    </w:p>
    <w:p w14:paraId="156849DB" w14:textId="24DA4A91" w:rsidR="009C108E" w:rsidRPr="009C108E" w:rsidRDefault="009C108E" w:rsidP="00614E8B">
      <w:pPr>
        <w:pStyle w:val="ListParagraph"/>
        <w:numPr>
          <w:ilvl w:val="0"/>
          <w:numId w:val="13"/>
        </w:numPr>
        <w:spacing w:line="360" w:lineRule="auto"/>
        <w:rPr>
          <w:rFonts w:cstheme="minorHAnsi"/>
        </w:rPr>
      </w:pPr>
      <w:r w:rsidRPr="009C108E">
        <w:rPr>
          <w:rFonts w:cstheme="minorHAnsi"/>
        </w:rPr>
        <w:t xml:space="preserve">Once submitted by </w:t>
      </w:r>
      <w:r w:rsidR="00415793">
        <w:rPr>
          <w:rFonts w:cstheme="minorHAnsi"/>
        </w:rPr>
        <w:t>you,</w:t>
      </w:r>
      <w:r w:rsidRPr="009C108E">
        <w:rPr>
          <w:rFonts w:cstheme="minorHAnsi"/>
        </w:rPr>
        <w:t xml:space="preserve"> the claim form will workflow to the relevant School / Section manager and TSR Approver (where there is one) for approval.  The School / Section Manager or TSR Approver is required to complete the second tab. See “Approving a  TSR Claim” on the </w:t>
      </w:r>
      <w:proofErr w:type="spellStart"/>
      <w:r w:rsidRPr="009C108E">
        <w:rPr>
          <w:rFonts w:cstheme="minorHAnsi"/>
        </w:rPr>
        <w:t>MyERP</w:t>
      </w:r>
      <w:proofErr w:type="spellEnd"/>
      <w:r w:rsidRPr="009C108E">
        <w:rPr>
          <w:rFonts w:cstheme="minorHAnsi"/>
        </w:rPr>
        <w:t xml:space="preserve"> Support </w:t>
      </w:r>
      <w:proofErr w:type="spellStart"/>
      <w:r w:rsidRPr="009C108E">
        <w:rPr>
          <w:rFonts w:cstheme="minorHAnsi"/>
        </w:rPr>
        <w:t>sharepoint</w:t>
      </w:r>
      <w:proofErr w:type="spellEnd"/>
      <w:r w:rsidRPr="009C108E">
        <w:rPr>
          <w:rFonts w:cstheme="minorHAnsi"/>
        </w:rPr>
        <w:t xml:space="preserve"> page </w:t>
      </w:r>
      <w:hyperlink r:id="rId25" w:history="1">
        <w:r w:rsidRPr="009C108E">
          <w:rPr>
            <w:rStyle w:val="Heading5Char"/>
            <w:rFonts w:asciiTheme="minorHAnsi" w:hAnsiTheme="minorHAnsi" w:cstheme="minorHAnsi"/>
          </w:rPr>
          <w:t>Getting paid&gt;HPTs&gt;Claim fees</w:t>
        </w:r>
      </w:hyperlink>
      <w:r w:rsidRPr="009C108E">
        <w:rPr>
          <w:rFonts w:cstheme="minorHAnsi"/>
        </w:rPr>
        <w:t>.</w:t>
      </w:r>
    </w:p>
    <w:p w14:paraId="5CE61A4B" w14:textId="77777777" w:rsidR="009C108E" w:rsidRPr="009C108E" w:rsidRDefault="009C108E" w:rsidP="00614E8B">
      <w:pPr>
        <w:pStyle w:val="ListParagraph"/>
        <w:numPr>
          <w:ilvl w:val="0"/>
          <w:numId w:val="13"/>
        </w:numPr>
        <w:spacing w:line="360" w:lineRule="auto"/>
        <w:rPr>
          <w:rFonts w:cstheme="minorHAnsi"/>
        </w:rPr>
      </w:pPr>
      <w:r w:rsidRPr="009C108E">
        <w:rPr>
          <w:rFonts w:cstheme="minorHAnsi"/>
        </w:rPr>
        <w:t xml:space="preserve">The person approving the claim may need to liaise with other parties (off-system) to confirm that the work was carried out before authorising a claim. </w:t>
      </w:r>
    </w:p>
    <w:p w14:paraId="1C263114" w14:textId="3A620BFF" w:rsidR="009C108E" w:rsidRPr="00436021" w:rsidRDefault="009C108E" w:rsidP="00614E8B">
      <w:pPr>
        <w:pStyle w:val="Heading2"/>
        <w:numPr>
          <w:ilvl w:val="0"/>
          <w:numId w:val="15"/>
        </w:numPr>
        <w:spacing w:line="360" w:lineRule="auto"/>
      </w:pPr>
      <w:bookmarkStart w:id="16" w:name="_Toc19264307"/>
      <w:r w:rsidRPr="00436021">
        <w:t>Payment of Claims</w:t>
      </w:r>
      <w:bookmarkEnd w:id="16"/>
    </w:p>
    <w:p w14:paraId="5BBEC090" w14:textId="23C5BAAC" w:rsidR="009C108E" w:rsidRPr="009C108E" w:rsidRDefault="009C108E" w:rsidP="006E7FEB">
      <w:pPr>
        <w:pStyle w:val="ListParagraph"/>
        <w:numPr>
          <w:ilvl w:val="0"/>
          <w:numId w:val="13"/>
        </w:numPr>
        <w:spacing w:line="360" w:lineRule="auto"/>
      </w:pPr>
      <w:r w:rsidRPr="00DE0813">
        <w:rPr>
          <w:rFonts w:cstheme="minorHAnsi"/>
        </w:rPr>
        <w:t xml:space="preserve">Once authorised by the School / Section Manager or TSR Approver, payment of the fee claim form is processed by Payroll in the monthly payroll run and </w:t>
      </w:r>
      <w:r w:rsidR="00415793" w:rsidRPr="00DE0813">
        <w:rPr>
          <w:rFonts w:cstheme="minorHAnsi"/>
        </w:rPr>
        <w:t xml:space="preserve">you </w:t>
      </w:r>
      <w:r w:rsidRPr="00DE0813">
        <w:rPr>
          <w:rFonts w:cstheme="minorHAnsi"/>
        </w:rPr>
        <w:t>receive payment</w:t>
      </w:r>
      <w:r w:rsidR="00415793" w:rsidRPr="00DE0813">
        <w:rPr>
          <w:rFonts w:cstheme="minorHAnsi"/>
        </w:rPr>
        <w:t xml:space="preserve"> on the next available pay date</w:t>
      </w:r>
      <w:r w:rsidRPr="00DE0813">
        <w:rPr>
          <w:rFonts w:cstheme="minorHAnsi"/>
        </w:rPr>
        <w:t>.</w:t>
      </w:r>
      <w:r w:rsidR="00415793" w:rsidRPr="00DE0813">
        <w:rPr>
          <w:rFonts w:cstheme="minorHAnsi"/>
        </w:rPr>
        <w:t xml:space="preserve"> </w:t>
      </w:r>
    </w:p>
    <w:p w14:paraId="7A4A7FA8" w14:textId="65F83BE4" w:rsidR="004E623C" w:rsidRDefault="00415793" w:rsidP="00996965">
      <w:pPr>
        <w:pStyle w:val="Heading1"/>
        <w:numPr>
          <w:ilvl w:val="0"/>
          <w:numId w:val="29"/>
        </w:numPr>
        <w:spacing w:line="360" w:lineRule="auto"/>
      </w:pPr>
      <w:bookmarkStart w:id="17" w:name="_Toc33608123"/>
      <w:bookmarkStart w:id="18" w:name="_Toc33608143"/>
      <w:r>
        <w:t xml:space="preserve">Issuing &amp; </w:t>
      </w:r>
      <w:r w:rsidR="004E623C">
        <w:t xml:space="preserve">Understanding </w:t>
      </w:r>
      <w:r>
        <w:t>Your C</w:t>
      </w:r>
      <w:r w:rsidR="004E623C">
        <w:t>ontract</w:t>
      </w:r>
      <w:bookmarkEnd w:id="17"/>
    </w:p>
    <w:p w14:paraId="4B5D2122" w14:textId="595D3E11" w:rsidR="00827AFA" w:rsidRDefault="004E623C" w:rsidP="00831BEC">
      <w:pPr>
        <w:shd w:val="clear" w:color="auto" w:fill="FFFFFF"/>
        <w:spacing w:after="0" w:line="360" w:lineRule="auto"/>
        <w:rPr>
          <w:rFonts w:cstheme="minorHAnsi"/>
        </w:rPr>
      </w:pPr>
      <w:r w:rsidRPr="00827AFA">
        <w:rPr>
          <w:rFonts w:cstheme="minorHAnsi"/>
        </w:rPr>
        <w:t xml:space="preserve">It is essential that </w:t>
      </w:r>
      <w:r w:rsidR="00827AFA">
        <w:rPr>
          <w:rFonts w:cstheme="minorHAnsi"/>
        </w:rPr>
        <w:t xml:space="preserve">your </w:t>
      </w:r>
      <w:r w:rsidRPr="00827AFA">
        <w:rPr>
          <w:rFonts w:cstheme="minorHAnsi"/>
        </w:rPr>
        <w:t>contract</w:t>
      </w:r>
      <w:r w:rsidR="00415793" w:rsidRPr="00827AFA">
        <w:rPr>
          <w:rFonts w:cstheme="minorHAnsi"/>
        </w:rPr>
        <w:t xml:space="preserve"> </w:t>
      </w:r>
      <w:r w:rsidR="00827AFA">
        <w:rPr>
          <w:rFonts w:cstheme="minorHAnsi"/>
        </w:rPr>
        <w:t>is signed b</w:t>
      </w:r>
      <w:r w:rsidRPr="00827AFA">
        <w:rPr>
          <w:rFonts w:cstheme="minorHAnsi"/>
        </w:rPr>
        <w:t xml:space="preserve">efore the start date of </w:t>
      </w:r>
      <w:r w:rsidR="00415793" w:rsidRPr="00827AFA">
        <w:rPr>
          <w:rFonts w:cstheme="minorHAnsi"/>
        </w:rPr>
        <w:t>your</w:t>
      </w:r>
      <w:r w:rsidRPr="00827AFA">
        <w:rPr>
          <w:rFonts w:cstheme="minorHAnsi"/>
        </w:rPr>
        <w:t xml:space="preserve"> contract</w:t>
      </w:r>
      <w:r w:rsidR="003D63CE" w:rsidRPr="00827AFA">
        <w:rPr>
          <w:rFonts w:cstheme="minorHAnsi"/>
        </w:rPr>
        <w:t xml:space="preserve">. </w:t>
      </w:r>
      <w:r w:rsidR="00827AFA" w:rsidRPr="00F709CF">
        <w:rPr>
          <w:rFonts w:cstheme="minorHAnsi"/>
        </w:rPr>
        <w:t xml:space="preserve">This process will be managed using </w:t>
      </w:r>
      <w:proofErr w:type="spellStart"/>
      <w:r w:rsidR="00827AFA" w:rsidRPr="00F709CF">
        <w:rPr>
          <w:rFonts w:cstheme="minorHAnsi"/>
        </w:rPr>
        <w:t>Docusign</w:t>
      </w:r>
      <w:proofErr w:type="spellEnd"/>
      <w:r w:rsidR="00827AFA">
        <w:rPr>
          <w:rFonts w:cstheme="minorHAnsi"/>
        </w:rPr>
        <w:t xml:space="preserve"> as a </w:t>
      </w:r>
      <w:r w:rsidR="00827AFA" w:rsidRPr="00F709CF">
        <w:rPr>
          <w:rFonts w:cstheme="minorHAnsi"/>
        </w:rPr>
        <w:t>fast, reliable way to electronically sign documents</w:t>
      </w:r>
      <w:r w:rsidR="00831BEC">
        <w:rPr>
          <w:rFonts w:cstheme="minorHAnsi"/>
        </w:rPr>
        <w:t>.</w:t>
      </w:r>
      <w:r w:rsidR="00827AFA" w:rsidRPr="00F709CF">
        <w:rPr>
          <w:rFonts w:cstheme="minorHAnsi"/>
        </w:rPr>
        <w:t xml:space="preserve"> </w:t>
      </w:r>
      <w:r w:rsidR="00276DB5" w:rsidRPr="00276DB5">
        <w:rPr>
          <w:rFonts w:cstheme="minorHAnsi"/>
        </w:rPr>
        <w:t xml:space="preserve">This </w:t>
      </w:r>
      <w:hyperlink r:id="rId26" w:history="1">
        <w:r w:rsidR="00276DB5" w:rsidRPr="00276DB5">
          <w:rPr>
            <w:rStyle w:val="Hyperlink"/>
            <w:rFonts w:cstheme="minorHAnsi"/>
          </w:rPr>
          <w:t>video</w:t>
        </w:r>
      </w:hyperlink>
      <w:r w:rsidR="00276DB5" w:rsidRPr="00276DB5">
        <w:rPr>
          <w:rFonts w:cstheme="minorHAnsi"/>
        </w:rPr>
        <w:t xml:space="preserve"> explains how to sign your contract through an email link sent via DocuSign</w:t>
      </w:r>
      <w:r w:rsidR="00276DB5">
        <w:rPr>
          <w:i/>
          <w:iCs/>
        </w:rPr>
        <w:t xml:space="preserve">. </w:t>
      </w:r>
      <w:r w:rsidR="00831BEC">
        <w:rPr>
          <w:rFonts w:cstheme="minorHAnsi"/>
        </w:rPr>
        <w:t xml:space="preserve">A </w:t>
      </w:r>
      <w:r w:rsidR="00827AFA" w:rsidRPr="00F709CF">
        <w:rPr>
          <w:rFonts w:cstheme="minorHAnsi"/>
        </w:rPr>
        <w:t>Right to Work check</w:t>
      </w:r>
      <w:r w:rsidR="00831BEC">
        <w:rPr>
          <w:rFonts w:cstheme="minorHAnsi"/>
        </w:rPr>
        <w:t xml:space="preserve"> will also be</w:t>
      </w:r>
      <w:r w:rsidR="00827AFA" w:rsidRPr="00F709CF">
        <w:rPr>
          <w:rFonts w:cstheme="minorHAnsi"/>
        </w:rPr>
        <w:t xml:space="preserve"> carried out by the HR Employee Services Hub as part of this process. It is essential that this process is completed in a timely </w:t>
      </w:r>
      <w:proofErr w:type="gramStart"/>
      <w:r w:rsidR="00827AFA" w:rsidRPr="00F709CF">
        <w:rPr>
          <w:rFonts w:cstheme="minorHAnsi"/>
        </w:rPr>
        <w:t>way</w:t>
      </w:r>
      <w:proofErr w:type="gramEnd"/>
      <w:r w:rsidR="00827AFA" w:rsidRPr="00F709CF">
        <w:rPr>
          <w:rFonts w:cstheme="minorHAnsi"/>
        </w:rPr>
        <w:t xml:space="preserve"> and </w:t>
      </w:r>
      <w:r w:rsidR="00831BEC">
        <w:rPr>
          <w:rFonts w:cstheme="minorHAnsi"/>
        </w:rPr>
        <w:t xml:space="preserve">you must </w:t>
      </w:r>
      <w:r w:rsidR="00827AFA" w:rsidRPr="00F709CF">
        <w:rPr>
          <w:rFonts w:cstheme="minorHAnsi"/>
        </w:rPr>
        <w:t xml:space="preserve">prioritise completion of all </w:t>
      </w:r>
      <w:r w:rsidR="00831BEC">
        <w:rPr>
          <w:rFonts w:cstheme="minorHAnsi"/>
        </w:rPr>
        <w:t xml:space="preserve">your </w:t>
      </w:r>
      <w:r w:rsidR="00827AFA" w:rsidRPr="00F709CF">
        <w:rPr>
          <w:rFonts w:cstheme="minorHAnsi"/>
        </w:rPr>
        <w:t xml:space="preserve">paperwork with the Hub as </w:t>
      </w:r>
      <w:r w:rsidR="00831BEC">
        <w:rPr>
          <w:rFonts w:cstheme="minorHAnsi"/>
        </w:rPr>
        <w:t xml:space="preserve">you </w:t>
      </w:r>
      <w:r w:rsidR="00827AFA" w:rsidRPr="00F709CF">
        <w:rPr>
          <w:rFonts w:cstheme="minorHAnsi"/>
        </w:rPr>
        <w:t xml:space="preserve">are unable to undertake any work </w:t>
      </w:r>
      <w:r w:rsidR="00831BEC">
        <w:rPr>
          <w:rFonts w:cstheme="minorHAnsi"/>
        </w:rPr>
        <w:t>or be paid</w:t>
      </w:r>
      <w:r w:rsidR="00827AFA" w:rsidRPr="00F709CF">
        <w:rPr>
          <w:rFonts w:cstheme="minorHAnsi"/>
        </w:rPr>
        <w:t xml:space="preserve"> until this has been completed.</w:t>
      </w:r>
      <w:r w:rsidR="00831BEC">
        <w:rPr>
          <w:rFonts w:cstheme="minorHAnsi"/>
        </w:rPr>
        <w:t xml:space="preserve"> </w:t>
      </w:r>
      <w:r w:rsidR="00827AFA" w:rsidRPr="00F709CF">
        <w:rPr>
          <w:rFonts w:cstheme="minorHAnsi"/>
        </w:rPr>
        <w:t xml:space="preserve">The Employee </w:t>
      </w:r>
      <w:r w:rsidR="00827AFA" w:rsidRPr="00F709CF">
        <w:rPr>
          <w:rFonts w:cstheme="minorHAnsi"/>
        </w:rPr>
        <w:lastRenderedPageBreak/>
        <w:t xml:space="preserve">Services Hub will then create or update </w:t>
      </w:r>
      <w:r w:rsidR="00831BEC">
        <w:rPr>
          <w:rFonts w:cstheme="minorHAnsi"/>
        </w:rPr>
        <w:t xml:space="preserve">your </w:t>
      </w:r>
      <w:r w:rsidR="00827AFA" w:rsidRPr="00F709CF">
        <w:rPr>
          <w:rFonts w:cstheme="minorHAnsi"/>
        </w:rPr>
        <w:t xml:space="preserve">employment </w:t>
      </w:r>
      <w:r w:rsidR="00831BEC">
        <w:rPr>
          <w:rFonts w:cstheme="minorHAnsi"/>
        </w:rPr>
        <w:t xml:space="preserve">record </w:t>
      </w:r>
      <w:r w:rsidR="00827AFA" w:rsidRPr="00F709CF">
        <w:rPr>
          <w:rFonts w:cstheme="minorHAnsi"/>
        </w:rPr>
        <w:t xml:space="preserve">in </w:t>
      </w:r>
      <w:proofErr w:type="spellStart"/>
      <w:r w:rsidR="00827AFA" w:rsidRPr="00F709CF">
        <w:rPr>
          <w:rFonts w:cstheme="minorHAnsi"/>
        </w:rPr>
        <w:t>MyERP</w:t>
      </w:r>
      <w:proofErr w:type="spellEnd"/>
      <w:r w:rsidR="00827AFA" w:rsidRPr="00F709CF">
        <w:rPr>
          <w:rFonts w:cstheme="minorHAnsi"/>
        </w:rPr>
        <w:t>, which will</w:t>
      </w:r>
      <w:r w:rsidR="00827AFA">
        <w:rPr>
          <w:rFonts w:cstheme="minorHAnsi"/>
        </w:rPr>
        <w:t xml:space="preserve"> enable </w:t>
      </w:r>
      <w:r w:rsidR="00831BEC">
        <w:rPr>
          <w:rFonts w:cstheme="minorHAnsi"/>
        </w:rPr>
        <w:t xml:space="preserve">your </w:t>
      </w:r>
      <w:r w:rsidR="00827AFA">
        <w:rPr>
          <w:rFonts w:cstheme="minorHAnsi"/>
        </w:rPr>
        <w:t xml:space="preserve">IT and </w:t>
      </w:r>
      <w:proofErr w:type="spellStart"/>
      <w:r w:rsidR="00827AFA">
        <w:rPr>
          <w:rFonts w:cstheme="minorHAnsi"/>
        </w:rPr>
        <w:t>UCard</w:t>
      </w:r>
      <w:proofErr w:type="spellEnd"/>
      <w:r w:rsidR="00827AFA">
        <w:rPr>
          <w:rFonts w:cstheme="minorHAnsi"/>
        </w:rPr>
        <w:t xml:space="preserve"> access</w:t>
      </w:r>
      <w:r w:rsidR="00831BEC">
        <w:rPr>
          <w:rFonts w:cstheme="minorHAnsi"/>
        </w:rPr>
        <w:t xml:space="preserve"> (please see section 6)</w:t>
      </w:r>
      <w:r w:rsidR="00827AFA">
        <w:rPr>
          <w:rFonts w:cstheme="minorHAnsi"/>
        </w:rPr>
        <w:t xml:space="preserve">.  </w:t>
      </w:r>
    </w:p>
    <w:p w14:paraId="697B0D2D" w14:textId="12C04994" w:rsidR="004E623C" w:rsidRDefault="004E623C" w:rsidP="00996965">
      <w:pPr>
        <w:pStyle w:val="Heading1"/>
        <w:numPr>
          <w:ilvl w:val="0"/>
          <w:numId w:val="29"/>
        </w:numPr>
        <w:spacing w:line="360" w:lineRule="auto"/>
      </w:pPr>
      <w:r>
        <w:t>Wellbeing</w:t>
      </w:r>
      <w:bookmarkEnd w:id="18"/>
    </w:p>
    <w:p w14:paraId="3AB07705" w14:textId="1FB655FF" w:rsidR="004E623C" w:rsidRDefault="004E623C" w:rsidP="004E623C">
      <w:pPr>
        <w:spacing w:line="360" w:lineRule="auto"/>
      </w:pPr>
      <w:r>
        <w:t>The University has many services available to provide support for physical and mental wellbeing</w:t>
      </w:r>
      <w:r w:rsidR="00415793">
        <w:t xml:space="preserve"> for staff and as a </w:t>
      </w:r>
      <w:r w:rsidR="00DE0813">
        <w:t xml:space="preserve">registered </w:t>
      </w:r>
      <w:r w:rsidR="00415793">
        <w:t>student you</w:t>
      </w:r>
      <w:r>
        <w:t xml:space="preserve"> will </w:t>
      </w:r>
      <w:r w:rsidR="00DE0813">
        <w:t xml:space="preserve">also </w:t>
      </w:r>
      <w:r>
        <w:t xml:space="preserve">have access to all the student wellbeing initiatives.  </w:t>
      </w:r>
    </w:p>
    <w:p w14:paraId="310DCD23" w14:textId="3FE706B5" w:rsidR="000919C1" w:rsidRDefault="001A521B" w:rsidP="004E623C">
      <w:pPr>
        <w:spacing w:line="360" w:lineRule="auto"/>
      </w:pPr>
      <w:hyperlink r:id="rId27" w:history="1">
        <w:r w:rsidR="000919C1">
          <w:rPr>
            <w:rStyle w:val="Hyperlink"/>
          </w:rPr>
          <w:t>Wellbeing | Human Resources | University of Bristol</w:t>
        </w:r>
      </w:hyperlink>
    </w:p>
    <w:p w14:paraId="529CAD59" w14:textId="49F09E2E" w:rsidR="000919C1" w:rsidRDefault="001A521B" w:rsidP="004E623C">
      <w:pPr>
        <w:spacing w:line="360" w:lineRule="auto"/>
      </w:pPr>
      <w:hyperlink r:id="rId28" w:history="1">
        <w:r w:rsidR="000919C1">
          <w:rPr>
            <w:rStyle w:val="Hyperlink"/>
          </w:rPr>
          <w:t>Student support | Current students | University of Bristol</w:t>
        </w:r>
      </w:hyperlink>
    </w:p>
    <w:p w14:paraId="1ED2D170" w14:textId="28457310" w:rsidR="004E623C" w:rsidRPr="00226ACA" w:rsidRDefault="004E623C" w:rsidP="00996965">
      <w:pPr>
        <w:pStyle w:val="Heading1"/>
        <w:numPr>
          <w:ilvl w:val="0"/>
          <w:numId w:val="29"/>
        </w:numPr>
        <w:spacing w:line="360" w:lineRule="auto"/>
      </w:pPr>
      <w:bookmarkStart w:id="19" w:name="_Toc33608144"/>
      <w:r>
        <w:t>Benefits and Entitlements</w:t>
      </w:r>
      <w:bookmarkEnd w:id="19"/>
    </w:p>
    <w:p w14:paraId="18B96844" w14:textId="77777777" w:rsidR="004E623C" w:rsidRDefault="004E623C" w:rsidP="004E623C">
      <w:pPr>
        <w:pStyle w:val="Heading2"/>
        <w:numPr>
          <w:ilvl w:val="0"/>
          <w:numId w:val="16"/>
        </w:numPr>
        <w:spacing w:line="360" w:lineRule="auto"/>
      </w:pPr>
      <w:bookmarkStart w:id="20" w:name="_Toc33608145"/>
      <w:r>
        <w:t>Annual Leave</w:t>
      </w:r>
      <w:bookmarkEnd w:id="20"/>
    </w:p>
    <w:p w14:paraId="1BE1C37C" w14:textId="556923AA" w:rsidR="004E623C" w:rsidRDefault="00A11AFB" w:rsidP="004E623C">
      <w:pPr>
        <w:spacing w:line="360" w:lineRule="auto"/>
      </w:pPr>
      <w:r>
        <w:t>Graduate Teachers</w:t>
      </w:r>
      <w:r w:rsidR="004E623C">
        <w:t xml:space="preserve"> are entitled to the equivalent of 5.6 weeks’ (28 days) annual leave per year (pro rata depending on hours worked), including all bank holidays and University Closure Days.  Holiday entitlement will therefore accrue at the rate of 12.07% of the total hours worked.  To ensure that </w:t>
      </w:r>
      <w:r w:rsidR="00415793">
        <w:t>you</w:t>
      </w:r>
      <w:r w:rsidR="004E623C">
        <w:t xml:space="preserve"> receive the benefit of this entitlement, </w:t>
      </w:r>
      <w:r w:rsidR="00DE0813">
        <w:t>you</w:t>
      </w:r>
      <w:r w:rsidR="004E623C">
        <w:t xml:space="preserve"> will be deemed to have taken annual leave at the end of each day that </w:t>
      </w:r>
      <w:r w:rsidR="000919C1">
        <w:t>you</w:t>
      </w:r>
      <w:r w:rsidR="004E623C">
        <w:t xml:space="preserve"> provide services to the University.  Payslips will clearly confirm holiday pay for the month in question. </w:t>
      </w:r>
    </w:p>
    <w:p w14:paraId="29FF56FD" w14:textId="77777777" w:rsidR="004E623C" w:rsidRDefault="004E623C" w:rsidP="004E623C">
      <w:pPr>
        <w:pStyle w:val="Heading2"/>
        <w:numPr>
          <w:ilvl w:val="0"/>
          <w:numId w:val="16"/>
        </w:numPr>
        <w:spacing w:line="360" w:lineRule="auto"/>
      </w:pPr>
      <w:bookmarkStart w:id="21" w:name="_Toc33608146"/>
      <w:r>
        <w:t>Pension</w:t>
      </w:r>
      <w:bookmarkEnd w:id="21"/>
    </w:p>
    <w:p w14:paraId="43B8F78F" w14:textId="4AE6ED4B" w:rsidR="004E623C" w:rsidRDefault="00A11AFB" w:rsidP="004E623C">
      <w:pPr>
        <w:spacing w:line="360" w:lineRule="auto"/>
      </w:pPr>
      <w:r>
        <w:t>Graduate Teachers</w:t>
      </w:r>
      <w:r w:rsidR="004E623C">
        <w:t xml:space="preserve"> </w:t>
      </w:r>
      <w:r w:rsidR="00DE0813">
        <w:t xml:space="preserve">may be </w:t>
      </w:r>
      <w:r w:rsidR="004E623C">
        <w:t xml:space="preserve">eligible to join the University of Bristol Group Pension Plan (UBGPP).  The University also operates a Pension Salary Exchange scheme for eligible staff.  There is a pay protection limit of £8600 for enrolling in this scheme, and so </w:t>
      </w:r>
      <w:r>
        <w:t>Graduate Teachers</w:t>
      </w:r>
      <w:r w:rsidR="004E623C">
        <w:t xml:space="preserve"> will not be automatically enrolled into it.  </w:t>
      </w:r>
    </w:p>
    <w:p w14:paraId="11396B7F" w14:textId="77777777" w:rsidR="004E623C" w:rsidRDefault="004E623C" w:rsidP="004E623C">
      <w:pPr>
        <w:pStyle w:val="Heading2"/>
        <w:numPr>
          <w:ilvl w:val="0"/>
          <w:numId w:val="16"/>
        </w:numPr>
        <w:spacing w:line="360" w:lineRule="auto"/>
      </w:pPr>
      <w:bookmarkStart w:id="22" w:name="_Toc33608147"/>
      <w:r>
        <w:t>Sickness Absence and Sick Pay</w:t>
      </w:r>
      <w:bookmarkEnd w:id="22"/>
    </w:p>
    <w:p w14:paraId="62DDA8C6" w14:textId="77777777" w:rsidR="004E623C" w:rsidRPr="00B756A0" w:rsidRDefault="004E623C" w:rsidP="004E623C">
      <w:pPr>
        <w:pStyle w:val="Heading3"/>
        <w:numPr>
          <w:ilvl w:val="0"/>
          <w:numId w:val="21"/>
        </w:numPr>
        <w:spacing w:line="360" w:lineRule="auto"/>
      </w:pPr>
      <w:bookmarkStart w:id="23" w:name="_Toc33608148"/>
      <w:r w:rsidRPr="00B756A0">
        <w:t>Sickness Absence</w:t>
      </w:r>
      <w:bookmarkEnd w:id="23"/>
    </w:p>
    <w:p w14:paraId="6CA09243" w14:textId="588D2DF8" w:rsidR="004E623C" w:rsidRPr="00117A46" w:rsidRDefault="00415793" w:rsidP="004E623C">
      <w:pPr>
        <w:spacing w:line="360" w:lineRule="auto"/>
      </w:pPr>
      <w:r>
        <w:t>You</w:t>
      </w:r>
      <w:r w:rsidR="004E623C">
        <w:t xml:space="preserve"> </w:t>
      </w:r>
      <w:r w:rsidR="004E623C" w:rsidRPr="00117A46">
        <w:t xml:space="preserve">must notify the </w:t>
      </w:r>
      <w:r w:rsidR="004E623C">
        <w:t>designated person within the School/Department</w:t>
      </w:r>
      <w:r w:rsidR="004E623C" w:rsidRPr="00117A46">
        <w:t xml:space="preserve"> at the earliest possible opportunity if </w:t>
      </w:r>
      <w:r>
        <w:t>you</w:t>
      </w:r>
      <w:r w:rsidR="004E623C" w:rsidRPr="00117A46">
        <w:t xml:space="preserve"> are unwell and unable to attend to take a class. </w:t>
      </w:r>
      <w:r w:rsidR="004E623C">
        <w:t xml:space="preserve"> </w:t>
      </w:r>
      <w:r w:rsidR="00827AFA">
        <w:t>You should attempt to rearrange your teaching with your Unit Lead but if this can’t be organised then you may be eligible for sick pay. You must</w:t>
      </w:r>
      <w:r w:rsidR="004E623C">
        <w:t xml:space="preserve"> notify the designated person in the School/Department on the first day of absence before 10 am or the start of the teaching session (whichever is earlier).  </w:t>
      </w:r>
      <w:r>
        <w:t>You</w:t>
      </w:r>
      <w:r w:rsidR="004E623C">
        <w:t xml:space="preserve"> should confirm the nature of </w:t>
      </w:r>
      <w:r>
        <w:t>your</w:t>
      </w:r>
      <w:r w:rsidR="004E623C">
        <w:t xml:space="preserve"> illness (sick or unwell is not an acceptable explanation) and give an indication of its likely duration and whether </w:t>
      </w:r>
      <w:r>
        <w:t>you</w:t>
      </w:r>
      <w:r w:rsidR="004E623C">
        <w:t xml:space="preserve"> intend to visit a doctor.  </w:t>
      </w:r>
    </w:p>
    <w:p w14:paraId="6718087A" w14:textId="1E1B6A77" w:rsidR="004E623C" w:rsidRDefault="004E623C" w:rsidP="004E623C">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lastRenderedPageBreak/>
        <w:t xml:space="preserve">If the sickness lasts for more than </w:t>
      </w:r>
      <w:r w:rsidR="00B7713F" w:rsidRPr="00B7713F">
        <w:rPr>
          <w:rFonts w:asciiTheme="minorHAnsi" w:hAnsiTheme="minorHAnsi" w:cstheme="minorBidi"/>
          <w:color w:val="auto"/>
          <w:sz w:val="22"/>
          <w:szCs w:val="22"/>
        </w:rPr>
        <w:t xml:space="preserve">7 </w:t>
      </w:r>
      <w:r w:rsidRPr="00B7713F">
        <w:rPr>
          <w:rFonts w:asciiTheme="minorHAnsi" w:hAnsiTheme="minorHAnsi" w:cstheme="minorBidi"/>
          <w:color w:val="auto"/>
          <w:sz w:val="22"/>
          <w:szCs w:val="22"/>
        </w:rPr>
        <w:t xml:space="preserve">calendar </w:t>
      </w:r>
      <w:proofErr w:type="gramStart"/>
      <w:r w:rsidRPr="00B7713F">
        <w:rPr>
          <w:rFonts w:asciiTheme="minorHAnsi" w:hAnsiTheme="minorHAnsi" w:cstheme="minorBidi"/>
          <w:color w:val="auto"/>
          <w:sz w:val="22"/>
          <w:szCs w:val="22"/>
        </w:rPr>
        <w:t>days’</w:t>
      </w:r>
      <w:proofErr w:type="gramEnd"/>
      <w:r>
        <w:rPr>
          <w:rFonts w:asciiTheme="minorHAnsi" w:hAnsiTheme="minorHAnsi" w:cstheme="minorBidi"/>
          <w:color w:val="auto"/>
          <w:sz w:val="22"/>
          <w:szCs w:val="22"/>
        </w:rPr>
        <w:t xml:space="preserve"> then </w:t>
      </w:r>
      <w:r w:rsidR="00415793">
        <w:rPr>
          <w:rFonts w:asciiTheme="minorHAnsi" w:hAnsiTheme="minorHAnsi" w:cstheme="minorBidi"/>
          <w:color w:val="auto"/>
          <w:sz w:val="22"/>
          <w:szCs w:val="22"/>
        </w:rPr>
        <w:t>you must</w:t>
      </w:r>
      <w:r>
        <w:rPr>
          <w:rFonts w:asciiTheme="minorHAnsi" w:hAnsiTheme="minorHAnsi" w:cstheme="minorBidi"/>
          <w:color w:val="auto"/>
          <w:sz w:val="22"/>
          <w:szCs w:val="22"/>
        </w:rPr>
        <w:t xml:space="preserve"> provide the School/Department with a supporting doctor’s note.  </w:t>
      </w:r>
    </w:p>
    <w:p w14:paraId="200A1F24" w14:textId="77777777" w:rsidR="004E623C" w:rsidRDefault="004E623C" w:rsidP="004E623C">
      <w:pPr>
        <w:pStyle w:val="Default"/>
        <w:spacing w:line="360" w:lineRule="auto"/>
        <w:rPr>
          <w:rFonts w:asciiTheme="minorHAnsi" w:hAnsiTheme="minorHAnsi" w:cstheme="minorBidi"/>
          <w:color w:val="auto"/>
          <w:sz w:val="22"/>
          <w:szCs w:val="22"/>
        </w:rPr>
      </w:pPr>
    </w:p>
    <w:p w14:paraId="3F59745B" w14:textId="1831EC0D" w:rsidR="004E623C" w:rsidRPr="00B756A0" w:rsidRDefault="004E623C" w:rsidP="004E623C">
      <w:pPr>
        <w:pStyle w:val="Heading3"/>
        <w:numPr>
          <w:ilvl w:val="0"/>
          <w:numId w:val="21"/>
        </w:numPr>
        <w:spacing w:line="360" w:lineRule="auto"/>
      </w:pPr>
      <w:bookmarkStart w:id="24" w:name="_Toc33608149"/>
      <w:r w:rsidRPr="00B756A0">
        <w:t>Sick Pay</w:t>
      </w:r>
      <w:bookmarkEnd w:id="24"/>
      <w:r w:rsidR="00827AFA">
        <w:t xml:space="preserve"> where eligible</w:t>
      </w:r>
    </w:p>
    <w:p w14:paraId="65D19D73" w14:textId="77777777" w:rsidR="004E623C" w:rsidRDefault="004E623C" w:rsidP="004E623C">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Entitlement to occupational sick pay accrues with service:</w:t>
      </w:r>
    </w:p>
    <w:tbl>
      <w:tblPr>
        <w:tblStyle w:val="TableGrid"/>
        <w:tblW w:w="0" w:type="auto"/>
        <w:tblLook w:val="04A0" w:firstRow="1" w:lastRow="0" w:firstColumn="1" w:lastColumn="0" w:noHBand="0" w:noVBand="1"/>
      </w:tblPr>
      <w:tblGrid>
        <w:gridCol w:w="4508"/>
        <w:gridCol w:w="4508"/>
      </w:tblGrid>
      <w:tr w:rsidR="004E623C" w14:paraId="66D4A6C3" w14:textId="77777777" w:rsidTr="00232562">
        <w:tc>
          <w:tcPr>
            <w:tcW w:w="4508" w:type="dxa"/>
          </w:tcPr>
          <w:p w14:paraId="35922F2D"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In first year of service</w:t>
            </w:r>
          </w:p>
        </w:tc>
        <w:tc>
          <w:tcPr>
            <w:tcW w:w="4508" w:type="dxa"/>
          </w:tcPr>
          <w:p w14:paraId="4428A87D"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One month’s paid sick leave</w:t>
            </w:r>
          </w:p>
        </w:tc>
      </w:tr>
      <w:tr w:rsidR="004E623C" w14:paraId="31CA179A" w14:textId="77777777" w:rsidTr="00232562">
        <w:tc>
          <w:tcPr>
            <w:tcW w:w="4508" w:type="dxa"/>
          </w:tcPr>
          <w:p w14:paraId="070E8180"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After one-year’s continuous service</w:t>
            </w:r>
          </w:p>
        </w:tc>
        <w:tc>
          <w:tcPr>
            <w:tcW w:w="4508" w:type="dxa"/>
          </w:tcPr>
          <w:p w14:paraId="528ACC3D"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Two months paid sick leave</w:t>
            </w:r>
          </w:p>
        </w:tc>
      </w:tr>
      <w:tr w:rsidR="004E623C" w14:paraId="37E5B71D" w14:textId="77777777" w:rsidTr="00232562">
        <w:tc>
          <w:tcPr>
            <w:tcW w:w="4508" w:type="dxa"/>
          </w:tcPr>
          <w:p w14:paraId="30F847D0"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After two years continuous service</w:t>
            </w:r>
          </w:p>
        </w:tc>
        <w:tc>
          <w:tcPr>
            <w:tcW w:w="4508" w:type="dxa"/>
          </w:tcPr>
          <w:p w14:paraId="3FE7BA5F" w14:textId="77777777" w:rsidR="004E623C" w:rsidRDefault="004E623C" w:rsidP="00232562">
            <w:pPr>
              <w:pStyle w:val="Default"/>
              <w:spacing w:line="360" w:lineRule="auto"/>
              <w:rPr>
                <w:rFonts w:asciiTheme="minorHAnsi" w:hAnsiTheme="minorHAnsi" w:cstheme="minorBidi"/>
                <w:color w:val="auto"/>
                <w:sz w:val="22"/>
                <w:szCs w:val="22"/>
              </w:rPr>
            </w:pPr>
            <w:r>
              <w:rPr>
                <w:rFonts w:asciiTheme="minorHAnsi" w:hAnsiTheme="minorHAnsi" w:cstheme="minorBidi"/>
                <w:color w:val="auto"/>
                <w:sz w:val="22"/>
                <w:szCs w:val="22"/>
              </w:rPr>
              <w:t>Three months paid sick leave</w:t>
            </w:r>
          </w:p>
        </w:tc>
      </w:tr>
    </w:tbl>
    <w:p w14:paraId="02AE9CE5" w14:textId="77777777" w:rsidR="004E623C" w:rsidRDefault="004E623C" w:rsidP="004E623C">
      <w:pPr>
        <w:pStyle w:val="Default"/>
        <w:spacing w:line="360" w:lineRule="auto"/>
        <w:rPr>
          <w:rFonts w:asciiTheme="minorHAnsi" w:hAnsiTheme="minorHAnsi" w:cstheme="minorBidi"/>
          <w:color w:val="auto"/>
          <w:sz w:val="22"/>
          <w:szCs w:val="22"/>
        </w:rPr>
      </w:pPr>
    </w:p>
    <w:p w14:paraId="7FC5A9FF" w14:textId="3AC97327" w:rsidR="004E623C" w:rsidRPr="00117A46" w:rsidRDefault="00415793" w:rsidP="004E623C">
      <w:pPr>
        <w:pStyle w:val="Default"/>
        <w:spacing w:line="360" w:lineRule="auto"/>
        <w:rPr>
          <w:sz w:val="22"/>
          <w:szCs w:val="22"/>
        </w:rPr>
      </w:pPr>
      <w:r>
        <w:rPr>
          <w:rFonts w:asciiTheme="minorHAnsi" w:hAnsiTheme="minorHAnsi" w:cstheme="minorBidi"/>
          <w:color w:val="auto"/>
          <w:sz w:val="22"/>
          <w:szCs w:val="22"/>
        </w:rPr>
        <w:t>You</w:t>
      </w:r>
      <w:r w:rsidR="004E623C" w:rsidRPr="00117A46">
        <w:rPr>
          <w:sz w:val="22"/>
          <w:szCs w:val="22"/>
        </w:rPr>
        <w:t xml:space="preserve"> might also be eligible for </w:t>
      </w:r>
      <w:hyperlink r:id="rId29" w:history="1">
        <w:r w:rsidR="004E623C" w:rsidRPr="00420F52">
          <w:rPr>
            <w:rStyle w:val="Hyperlink"/>
            <w:sz w:val="22"/>
            <w:szCs w:val="22"/>
          </w:rPr>
          <w:t>Statutory Sick Pay/Sickness Benefit</w:t>
        </w:r>
      </w:hyperlink>
      <w:r w:rsidR="004E623C" w:rsidRPr="00117A46">
        <w:rPr>
          <w:sz w:val="22"/>
          <w:szCs w:val="22"/>
        </w:rPr>
        <w:t xml:space="preserve"> if </w:t>
      </w:r>
      <w:r>
        <w:rPr>
          <w:sz w:val="22"/>
          <w:szCs w:val="22"/>
        </w:rPr>
        <w:t>you</w:t>
      </w:r>
      <w:r w:rsidR="004E623C" w:rsidRPr="00117A46">
        <w:rPr>
          <w:sz w:val="22"/>
          <w:szCs w:val="22"/>
        </w:rPr>
        <w:t xml:space="preserve"> meet all the following requirements:</w:t>
      </w:r>
    </w:p>
    <w:p w14:paraId="5D178D4E" w14:textId="77777777" w:rsidR="004E623C" w:rsidRDefault="004E623C" w:rsidP="004E623C">
      <w:pPr>
        <w:pStyle w:val="Default"/>
        <w:numPr>
          <w:ilvl w:val="0"/>
          <w:numId w:val="20"/>
        </w:numPr>
        <w:spacing w:after="22" w:line="360" w:lineRule="auto"/>
        <w:rPr>
          <w:rFonts w:asciiTheme="minorHAnsi" w:hAnsiTheme="minorHAnsi" w:cstheme="minorBidi"/>
          <w:color w:val="auto"/>
          <w:sz w:val="22"/>
          <w:szCs w:val="22"/>
        </w:rPr>
      </w:pPr>
      <w:r w:rsidRPr="00117A46">
        <w:rPr>
          <w:rFonts w:asciiTheme="minorHAnsi" w:hAnsiTheme="minorHAnsi" w:cstheme="minorBidi"/>
          <w:color w:val="auto"/>
          <w:sz w:val="22"/>
          <w:szCs w:val="22"/>
        </w:rPr>
        <w:t xml:space="preserve">average weekly earnings are above the lower weekly earnings limit for National Insurance </w:t>
      </w:r>
      <w:proofErr w:type="gramStart"/>
      <w:r w:rsidRPr="00117A46">
        <w:rPr>
          <w:rFonts w:asciiTheme="minorHAnsi" w:hAnsiTheme="minorHAnsi" w:cstheme="minorBidi"/>
          <w:color w:val="auto"/>
          <w:sz w:val="22"/>
          <w:szCs w:val="22"/>
        </w:rPr>
        <w:t>contributions</w:t>
      </w:r>
      <w:r>
        <w:rPr>
          <w:rFonts w:asciiTheme="minorHAnsi" w:hAnsiTheme="minorHAnsi" w:cstheme="minorBidi"/>
          <w:color w:val="auto"/>
          <w:sz w:val="22"/>
          <w:szCs w:val="22"/>
        </w:rPr>
        <w:t>;</w:t>
      </w:r>
      <w:proofErr w:type="gramEnd"/>
      <w:r w:rsidRPr="00117A46">
        <w:rPr>
          <w:rFonts w:asciiTheme="minorHAnsi" w:hAnsiTheme="minorHAnsi" w:cstheme="minorBidi"/>
          <w:color w:val="auto"/>
          <w:sz w:val="22"/>
          <w:szCs w:val="22"/>
        </w:rPr>
        <w:t xml:space="preserve"> </w:t>
      </w:r>
    </w:p>
    <w:p w14:paraId="6B94C8DE" w14:textId="77777777" w:rsidR="004E623C" w:rsidRDefault="004E623C" w:rsidP="004E623C">
      <w:pPr>
        <w:pStyle w:val="Default"/>
        <w:numPr>
          <w:ilvl w:val="0"/>
          <w:numId w:val="20"/>
        </w:numPr>
        <w:spacing w:after="22" w:line="360" w:lineRule="auto"/>
        <w:rPr>
          <w:rFonts w:asciiTheme="minorHAnsi" w:hAnsiTheme="minorHAnsi" w:cstheme="minorBidi"/>
          <w:color w:val="auto"/>
          <w:sz w:val="22"/>
          <w:szCs w:val="22"/>
        </w:rPr>
      </w:pPr>
      <w:r w:rsidRPr="00BC3859">
        <w:rPr>
          <w:rFonts w:asciiTheme="minorHAnsi" w:hAnsiTheme="minorHAnsi" w:cstheme="minorBidi"/>
          <w:color w:val="auto"/>
          <w:sz w:val="22"/>
          <w:szCs w:val="22"/>
        </w:rPr>
        <w:t xml:space="preserve">hold a contract of more than 3 months’ </w:t>
      </w:r>
      <w:proofErr w:type="gramStart"/>
      <w:r w:rsidRPr="00BC3859">
        <w:rPr>
          <w:rFonts w:asciiTheme="minorHAnsi" w:hAnsiTheme="minorHAnsi" w:cstheme="minorBidi"/>
          <w:color w:val="auto"/>
          <w:sz w:val="22"/>
          <w:szCs w:val="22"/>
        </w:rPr>
        <w:t>duration;</w:t>
      </w:r>
      <w:proofErr w:type="gramEnd"/>
    </w:p>
    <w:p w14:paraId="45EADD31" w14:textId="77777777" w:rsidR="004E623C" w:rsidRPr="00BC3859" w:rsidRDefault="004E623C" w:rsidP="004E623C">
      <w:pPr>
        <w:pStyle w:val="Default"/>
        <w:numPr>
          <w:ilvl w:val="0"/>
          <w:numId w:val="20"/>
        </w:numPr>
        <w:spacing w:after="22" w:line="360" w:lineRule="auto"/>
        <w:rPr>
          <w:rFonts w:asciiTheme="minorHAnsi" w:hAnsiTheme="minorHAnsi" w:cstheme="minorBidi"/>
          <w:color w:val="auto"/>
          <w:sz w:val="22"/>
          <w:szCs w:val="22"/>
        </w:rPr>
      </w:pPr>
      <w:r w:rsidRPr="00BC3859">
        <w:rPr>
          <w:rFonts w:asciiTheme="minorHAnsi" w:hAnsiTheme="minorHAnsi" w:cstheme="minorBidi"/>
          <w:color w:val="auto"/>
          <w:sz w:val="22"/>
          <w:szCs w:val="22"/>
        </w:rPr>
        <w:t xml:space="preserve">are absent owing to sickness for more than 3 days </w:t>
      </w:r>
    </w:p>
    <w:p w14:paraId="5E34740B" w14:textId="77777777" w:rsidR="004E623C" w:rsidRDefault="004E623C" w:rsidP="004E623C">
      <w:pPr>
        <w:pStyle w:val="Default"/>
        <w:spacing w:line="360" w:lineRule="auto"/>
        <w:rPr>
          <w:rFonts w:asciiTheme="minorHAnsi" w:hAnsiTheme="minorHAnsi" w:cstheme="minorBidi"/>
          <w:color w:val="auto"/>
          <w:sz w:val="22"/>
          <w:szCs w:val="22"/>
        </w:rPr>
      </w:pPr>
    </w:p>
    <w:p w14:paraId="1D54C2A2" w14:textId="03764038" w:rsidR="004E623C" w:rsidRPr="00B756A0" w:rsidRDefault="004E623C" w:rsidP="004E623C">
      <w:pPr>
        <w:pStyle w:val="Heading3"/>
        <w:numPr>
          <w:ilvl w:val="0"/>
          <w:numId w:val="21"/>
        </w:numPr>
        <w:spacing w:line="360" w:lineRule="auto"/>
      </w:pPr>
      <w:bookmarkStart w:id="25" w:name="_Toc33608150"/>
      <w:r w:rsidRPr="00B756A0">
        <w:t xml:space="preserve">Return to </w:t>
      </w:r>
      <w:r w:rsidR="003D63CE">
        <w:t>W</w:t>
      </w:r>
      <w:r w:rsidRPr="00B756A0">
        <w:t>ork</w:t>
      </w:r>
      <w:bookmarkEnd w:id="25"/>
    </w:p>
    <w:p w14:paraId="57BB8543" w14:textId="315A56AF" w:rsidR="004E623C" w:rsidRDefault="004E623C" w:rsidP="004E623C">
      <w:pPr>
        <w:autoSpaceDE w:val="0"/>
        <w:autoSpaceDN w:val="0"/>
        <w:adjustRightInd w:val="0"/>
        <w:spacing w:after="0" w:line="360" w:lineRule="auto"/>
      </w:pPr>
      <w:r>
        <w:t xml:space="preserve">On return to work from sickness absence, </w:t>
      </w:r>
      <w:r w:rsidR="00415793">
        <w:t>you must</w:t>
      </w:r>
      <w:r>
        <w:t xml:space="preserve"> complete a sickness notification form through </w:t>
      </w:r>
      <w:proofErr w:type="spellStart"/>
      <w:r>
        <w:t>MyERP</w:t>
      </w:r>
      <w:proofErr w:type="spellEnd"/>
      <w:r w:rsidR="00863C41">
        <w:t xml:space="preserve"> here</w:t>
      </w:r>
      <w:r>
        <w:t xml:space="preserve"> </w:t>
      </w:r>
      <w:hyperlink r:id="rId30" w:history="1">
        <w:proofErr w:type="spellStart"/>
        <w:r w:rsidR="00863C41">
          <w:rPr>
            <w:rStyle w:val="Hyperlink"/>
          </w:rPr>
          <w:t>MyERP</w:t>
        </w:r>
        <w:proofErr w:type="spellEnd"/>
        <w:r w:rsidR="00863C41">
          <w:rPr>
            <w:rStyle w:val="Hyperlink"/>
          </w:rPr>
          <w:t xml:space="preserve"> - Personal (sharepoint.com)</w:t>
        </w:r>
      </w:hyperlink>
      <w:r>
        <w:t xml:space="preserve"> </w:t>
      </w:r>
    </w:p>
    <w:p w14:paraId="6C5E8522" w14:textId="12BCB13B" w:rsidR="004E623C" w:rsidRDefault="004E623C" w:rsidP="00996965">
      <w:pPr>
        <w:pStyle w:val="Heading1"/>
        <w:numPr>
          <w:ilvl w:val="0"/>
          <w:numId w:val="29"/>
        </w:numPr>
        <w:spacing w:line="360" w:lineRule="auto"/>
      </w:pPr>
      <w:bookmarkStart w:id="26" w:name="_Toc33608154"/>
      <w:r>
        <w:t>University Systems and Access</w:t>
      </w:r>
      <w:bookmarkEnd w:id="26"/>
    </w:p>
    <w:p w14:paraId="012650AF" w14:textId="17878E1D" w:rsidR="004E623C" w:rsidRDefault="004E623C" w:rsidP="004E623C">
      <w:pPr>
        <w:pStyle w:val="Heading2"/>
        <w:numPr>
          <w:ilvl w:val="0"/>
          <w:numId w:val="17"/>
        </w:numPr>
        <w:spacing w:line="360" w:lineRule="auto"/>
      </w:pPr>
      <w:bookmarkStart w:id="27" w:name="_Toc33608155"/>
      <w:r>
        <w:t>U</w:t>
      </w:r>
      <w:r w:rsidR="003D63CE">
        <w:t>-</w:t>
      </w:r>
      <w:r>
        <w:t>Card and Buildings Access</w:t>
      </w:r>
      <w:bookmarkEnd w:id="27"/>
    </w:p>
    <w:p w14:paraId="35F1E945" w14:textId="286EEC0B" w:rsidR="004E623C" w:rsidRPr="004A1B45" w:rsidRDefault="00415793" w:rsidP="004E623C">
      <w:pPr>
        <w:spacing w:line="360" w:lineRule="auto"/>
      </w:pPr>
      <w:r>
        <w:t>You</w:t>
      </w:r>
      <w:r w:rsidR="004E623C">
        <w:t xml:space="preserve"> may already have a </w:t>
      </w:r>
      <w:r w:rsidR="00DE0813">
        <w:t>U-</w:t>
      </w:r>
      <w:r w:rsidR="004E623C">
        <w:t xml:space="preserve">card as a student, however once </w:t>
      </w:r>
      <w:r>
        <w:t>you</w:t>
      </w:r>
      <w:r w:rsidR="004E623C">
        <w:t xml:space="preserve"> </w:t>
      </w:r>
      <w:r w:rsidR="004E623C" w:rsidRPr="004A1B45">
        <w:t xml:space="preserve">sign and return </w:t>
      </w:r>
      <w:r>
        <w:t>your</w:t>
      </w:r>
      <w:r w:rsidR="004E623C" w:rsidRPr="004A1B45">
        <w:t xml:space="preserve"> contract</w:t>
      </w:r>
      <w:r w:rsidR="004E623C">
        <w:t xml:space="preserve">, this should be amended to ensure </w:t>
      </w:r>
      <w:r>
        <w:t>you</w:t>
      </w:r>
      <w:r w:rsidR="004E623C">
        <w:t xml:space="preserve"> have access for all the buildings </w:t>
      </w:r>
      <w:r>
        <w:t>you</w:t>
      </w:r>
      <w:r w:rsidR="004E623C">
        <w:t xml:space="preserve"> will be teaching in.  U</w:t>
      </w:r>
      <w:r w:rsidR="003D63CE">
        <w:t>-</w:t>
      </w:r>
      <w:r w:rsidR="004E623C">
        <w:t>Cards</w:t>
      </w:r>
      <w:r w:rsidR="004E623C" w:rsidRPr="004A1B45">
        <w:t xml:space="preserve"> </w:t>
      </w:r>
      <w:r w:rsidR="004E623C">
        <w:t xml:space="preserve">are issued and updated </w:t>
      </w:r>
      <w:r w:rsidR="004E623C" w:rsidRPr="004A1B45">
        <w:t>from the Security Office at the Gatehouse in Royal Fort</w:t>
      </w:r>
      <w:r w:rsidR="00B7713F">
        <w:t xml:space="preserve"> Gardens</w:t>
      </w:r>
      <w:r w:rsidR="004E623C" w:rsidRPr="004A1B45">
        <w:t xml:space="preserve">, Tyndall Avenue.  </w:t>
      </w:r>
      <w:r w:rsidR="004E623C">
        <w:t>You</w:t>
      </w:r>
      <w:r>
        <w:t xml:space="preserve">r School Administrator </w:t>
      </w:r>
      <w:r w:rsidR="004E623C">
        <w:t xml:space="preserve">will need to request access to all the buildings </w:t>
      </w:r>
      <w:r w:rsidR="00F640BD">
        <w:t>you are tea</w:t>
      </w:r>
      <w:r w:rsidR="004E623C">
        <w:t xml:space="preserve">ching in.  </w:t>
      </w:r>
    </w:p>
    <w:p w14:paraId="2DBCAD69" w14:textId="77777777" w:rsidR="004E623C" w:rsidRDefault="004E623C" w:rsidP="004E623C">
      <w:pPr>
        <w:pStyle w:val="Heading2"/>
        <w:numPr>
          <w:ilvl w:val="0"/>
          <w:numId w:val="17"/>
        </w:numPr>
        <w:spacing w:line="360" w:lineRule="auto"/>
      </w:pPr>
      <w:bookmarkStart w:id="28" w:name="_Toc33608156"/>
      <w:r>
        <w:t>IT Access</w:t>
      </w:r>
      <w:bookmarkEnd w:id="28"/>
    </w:p>
    <w:p w14:paraId="3A556B8A" w14:textId="0558D5DC" w:rsidR="004E623C" w:rsidRDefault="004E623C" w:rsidP="004E623C">
      <w:pPr>
        <w:spacing w:line="360" w:lineRule="auto"/>
      </w:pPr>
      <w:r>
        <w:t xml:space="preserve">Once a signed contract is returned, the IT account will be updated with staff status.  </w:t>
      </w:r>
      <w:r w:rsidRPr="003640FF">
        <w:t>You</w:t>
      </w:r>
      <w:r>
        <w:t xml:space="preserve"> will then be grant</w:t>
      </w:r>
      <w:r w:rsidR="00F640BD">
        <w:t>ed</w:t>
      </w:r>
      <w:r>
        <w:t xml:space="preserve"> access to all relevant networked and cloud IT resources.</w:t>
      </w:r>
      <w:r w:rsidRPr="003640FF">
        <w:t xml:space="preserve"> </w:t>
      </w:r>
    </w:p>
    <w:p w14:paraId="1F35B5C4" w14:textId="64A5F9A8" w:rsidR="004E623C" w:rsidRDefault="004E623C" w:rsidP="00996965">
      <w:pPr>
        <w:pStyle w:val="Heading1"/>
        <w:numPr>
          <w:ilvl w:val="0"/>
          <w:numId w:val="29"/>
        </w:numPr>
        <w:spacing w:line="360" w:lineRule="auto"/>
      </w:pPr>
      <w:bookmarkStart w:id="29" w:name="_Toc33608158"/>
      <w:r>
        <w:lastRenderedPageBreak/>
        <w:t>Other</w:t>
      </w:r>
      <w:bookmarkEnd w:id="29"/>
    </w:p>
    <w:p w14:paraId="6A8ADD44" w14:textId="77777777" w:rsidR="004E623C" w:rsidRDefault="004E623C" w:rsidP="004E623C">
      <w:pPr>
        <w:pStyle w:val="Heading2"/>
        <w:numPr>
          <w:ilvl w:val="0"/>
          <w:numId w:val="18"/>
        </w:numPr>
        <w:spacing w:line="360" w:lineRule="auto"/>
      </w:pPr>
      <w:bookmarkStart w:id="30" w:name="_Toc33608159"/>
      <w:r>
        <w:t>Behaviours</w:t>
      </w:r>
      <w:bookmarkEnd w:id="30"/>
    </w:p>
    <w:p w14:paraId="6C577B54" w14:textId="415868F3" w:rsidR="004E623C" w:rsidRDefault="004E623C" w:rsidP="004E623C">
      <w:pPr>
        <w:spacing w:line="360" w:lineRule="auto"/>
        <w:rPr>
          <w:rFonts w:cs="Calibri"/>
          <w:bCs/>
        </w:rPr>
      </w:pPr>
      <w:r w:rsidRPr="00B727CB">
        <w:rPr>
          <w:rFonts w:cs="Calibri"/>
          <w:bCs/>
        </w:rPr>
        <w:t>Managing</w:t>
      </w:r>
      <w:r>
        <w:rPr>
          <w:rFonts w:cs="Calibri"/>
          <w:bCs/>
        </w:rPr>
        <w:t xml:space="preserve"> behaviour during teaching sessions can be of concern, particularly to those who do not have a lot of teaching experience.  The lead academic for the session is responsible for </w:t>
      </w:r>
      <w:r w:rsidR="00863C41">
        <w:rPr>
          <w:rFonts w:cs="Calibri"/>
          <w:bCs/>
        </w:rPr>
        <w:t xml:space="preserve">coaching </w:t>
      </w:r>
      <w:r>
        <w:rPr>
          <w:rFonts w:cs="Calibri"/>
          <w:bCs/>
        </w:rPr>
        <w:t xml:space="preserve">and supporting </w:t>
      </w:r>
      <w:r w:rsidR="00F640BD">
        <w:rPr>
          <w:rFonts w:cs="Calibri"/>
          <w:bCs/>
        </w:rPr>
        <w:t>you</w:t>
      </w:r>
      <w:r w:rsidR="00863C41">
        <w:rPr>
          <w:rFonts w:cs="Calibri"/>
          <w:bCs/>
        </w:rPr>
        <w:t xml:space="preserve"> even if they are not present with you in the teaching room so seeking advice is strongly encouraged</w:t>
      </w:r>
      <w:r>
        <w:rPr>
          <w:rFonts w:cs="Calibri"/>
          <w:bCs/>
        </w:rPr>
        <w:t>.</w:t>
      </w:r>
    </w:p>
    <w:p w14:paraId="7323287E" w14:textId="253E799E" w:rsidR="004E623C" w:rsidRPr="00FB5BBB" w:rsidRDefault="004E623C" w:rsidP="004E623C">
      <w:pPr>
        <w:spacing w:line="360" w:lineRule="auto"/>
        <w:rPr>
          <w:rFonts w:cs="Calibri"/>
        </w:rPr>
      </w:pPr>
      <w:r>
        <w:rPr>
          <w:rStyle w:val="Hyperlink"/>
          <w:rFonts w:cs="Calibri"/>
          <w:color w:val="auto"/>
          <w:u w:val="none"/>
        </w:rPr>
        <w:t xml:space="preserve">All </w:t>
      </w:r>
      <w:r w:rsidR="00A11AFB">
        <w:rPr>
          <w:rStyle w:val="Hyperlink"/>
          <w:rFonts w:cs="Calibri"/>
          <w:color w:val="auto"/>
          <w:u w:val="none"/>
        </w:rPr>
        <w:t>Graduate Teachers</w:t>
      </w:r>
      <w:r>
        <w:rPr>
          <w:rStyle w:val="Hyperlink"/>
          <w:rFonts w:cs="Calibri"/>
          <w:color w:val="auto"/>
          <w:u w:val="none"/>
        </w:rPr>
        <w:t xml:space="preserve"> are subject to the University procedures </w:t>
      </w:r>
      <w:r w:rsidR="00B7713F">
        <w:rPr>
          <w:rStyle w:val="Hyperlink"/>
          <w:rFonts w:cs="Calibri"/>
          <w:color w:val="auto"/>
          <w:u w:val="none"/>
        </w:rPr>
        <w:t xml:space="preserve">and policies </w:t>
      </w:r>
      <w:r>
        <w:rPr>
          <w:rStyle w:val="Hyperlink"/>
          <w:rFonts w:cs="Calibri"/>
          <w:color w:val="auto"/>
          <w:u w:val="none"/>
        </w:rPr>
        <w:t>on staff Conduct, Capability and Grievance.</w:t>
      </w:r>
    </w:p>
    <w:p w14:paraId="26D56808" w14:textId="77777777" w:rsidR="004E623C" w:rsidRDefault="004E623C" w:rsidP="004E623C">
      <w:pPr>
        <w:shd w:val="clear" w:color="auto" w:fill="FFFFFF"/>
        <w:spacing w:after="0" w:line="360" w:lineRule="auto"/>
        <w:rPr>
          <w:rFonts w:eastAsia="Times New Roman" w:cs="Segoe UI"/>
          <w:b/>
          <w:color w:val="333333"/>
          <w:lang w:eastAsia="en-GB"/>
        </w:rPr>
      </w:pPr>
    </w:p>
    <w:p w14:paraId="1C519B8A" w14:textId="3FDDB760" w:rsidR="001A521B" w:rsidRDefault="001A521B" w:rsidP="001A521B">
      <w:pPr>
        <w:pStyle w:val="Heading2"/>
        <w:numPr>
          <w:ilvl w:val="0"/>
          <w:numId w:val="18"/>
        </w:numPr>
        <w:spacing w:line="360" w:lineRule="auto"/>
      </w:pPr>
      <w:r w:rsidRPr="001A521B">
        <w:t>Overseas travel</w:t>
      </w:r>
    </w:p>
    <w:p w14:paraId="01C8BF13" w14:textId="2E0C8EBB" w:rsidR="001A521B" w:rsidRPr="001A521B" w:rsidRDefault="001A521B" w:rsidP="001A521B">
      <w:pPr>
        <w:spacing w:line="360" w:lineRule="auto"/>
        <w:rPr>
          <w:rFonts w:cs="Calibri"/>
          <w:bCs/>
        </w:rPr>
      </w:pPr>
      <w:r w:rsidRPr="001A521B">
        <w:rPr>
          <w:rFonts w:cs="Calibri"/>
          <w:bCs/>
        </w:rPr>
        <w:t>You must not deliver work whilst you are travelling overseas. If you need to travel for personal reasons or in relation to your studies, you should coordinate with your School Manager or TSR Co-ordinator to confirm the period for which you will be away and therefore unable to work. Travel related to visas is understood as personal travel.</w:t>
      </w:r>
    </w:p>
    <w:p w14:paraId="2B199CBD" w14:textId="77777777" w:rsidR="001A521B" w:rsidRPr="00046A58" w:rsidRDefault="001A521B" w:rsidP="004E623C">
      <w:pPr>
        <w:shd w:val="clear" w:color="auto" w:fill="FFFFFF"/>
        <w:spacing w:after="0" w:line="360" w:lineRule="auto"/>
        <w:rPr>
          <w:rFonts w:eastAsia="Times New Roman" w:cs="Segoe UI"/>
          <w:b/>
          <w:color w:val="333333"/>
          <w:lang w:eastAsia="en-GB"/>
        </w:rPr>
      </w:pPr>
    </w:p>
    <w:p w14:paraId="6404B0ED" w14:textId="77777777" w:rsidR="004E623C" w:rsidRPr="0079543C" w:rsidRDefault="004E623C" w:rsidP="004E623C">
      <w:pPr>
        <w:spacing w:line="360" w:lineRule="auto"/>
      </w:pPr>
    </w:p>
    <w:p w14:paraId="3EA4D371" w14:textId="77777777" w:rsidR="004E623C" w:rsidRDefault="004E623C" w:rsidP="0063441F">
      <w:pPr>
        <w:spacing w:line="360" w:lineRule="auto"/>
      </w:pPr>
    </w:p>
    <w:sectPr w:rsidR="004E623C">
      <w:headerReference w:type="even" r:id="rId31"/>
      <w:headerReference w:type="default" r:id="rId32"/>
      <w:footerReference w:type="even" r:id="rId33"/>
      <w:footerReference w:type="default" r:id="rId34"/>
      <w:headerReference w:type="first" r:id="rId35"/>
      <w:footerReference w:type="firs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AF90F" w14:textId="77777777" w:rsidR="00B90C70" w:rsidRDefault="00B90C70" w:rsidP="00B90C70">
      <w:pPr>
        <w:spacing w:after="0" w:line="240" w:lineRule="auto"/>
      </w:pPr>
      <w:r>
        <w:separator/>
      </w:r>
    </w:p>
  </w:endnote>
  <w:endnote w:type="continuationSeparator" w:id="0">
    <w:p w14:paraId="18D1ECEE" w14:textId="77777777" w:rsidR="00B90C70" w:rsidRDefault="00B90C70" w:rsidP="00B9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BBACA" w14:textId="77777777" w:rsidR="00D7767B" w:rsidRDefault="00D776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90604"/>
      <w:docPartObj>
        <w:docPartGallery w:val="Page Numbers (Bottom of Page)"/>
        <w:docPartUnique/>
      </w:docPartObj>
    </w:sdtPr>
    <w:sdtEndPr>
      <w:rPr>
        <w:noProof/>
      </w:rPr>
    </w:sdtEndPr>
    <w:sdtContent>
      <w:p w14:paraId="50A76543" w14:textId="0875973A" w:rsidR="00D7767B" w:rsidRDefault="00D776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3F227F" w14:textId="77777777" w:rsidR="005C0758" w:rsidRDefault="005C07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DB2D" w14:textId="77777777" w:rsidR="00D7767B" w:rsidRDefault="00D7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EEF43" w14:textId="77777777" w:rsidR="00B90C70" w:rsidRDefault="00B90C70" w:rsidP="00B90C70">
      <w:pPr>
        <w:spacing w:after="0" w:line="240" w:lineRule="auto"/>
      </w:pPr>
      <w:r>
        <w:separator/>
      </w:r>
    </w:p>
  </w:footnote>
  <w:footnote w:type="continuationSeparator" w:id="0">
    <w:p w14:paraId="5BF032A2" w14:textId="77777777" w:rsidR="00B90C70" w:rsidRDefault="00B90C70" w:rsidP="00B90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C354" w14:textId="77777777" w:rsidR="00D7767B" w:rsidRDefault="00D77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A865" w14:textId="77777777" w:rsidR="00D7767B" w:rsidRDefault="00D77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15584" w14:textId="77777777" w:rsidR="00D7767B" w:rsidRDefault="00D776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97"/>
    <w:multiLevelType w:val="hybridMultilevel"/>
    <w:tmpl w:val="B3E4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6159C"/>
    <w:multiLevelType w:val="hybridMultilevel"/>
    <w:tmpl w:val="8C80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24DAE"/>
    <w:multiLevelType w:val="multilevel"/>
    <w:tmpl w:val="B3A687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66FC7"/>
    <w:multiLevelType w:val="hybridMultilevel"/>
    <w:tmpl w:val="FCD4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852FCF"/>
    <w:multiLevelType w:val="multilevel"/>
    <w:tmpl w:val="CCE4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390C42"/>
    <w:multiLevelType w:val="hybridMultilevel"/>
    <w:tmpl w:val="C778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C7864"/>
    <w:multiLevelType w:val="multilevel"/>
    <w:tmpl w:val="C00AF1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Symbol" w:hAnsi="Symbo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BF10FC"/>
    <w:multiLevelType w:val="multilevel"/>
    <w:tmpl w:val="4F1E8C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99189C"/>
    <w:multiLevelType w:val="hybridMultilevel"/>
    <w:tmpl w:val="8F924528"/>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E2524"/>
    <w:multiLevelType w:val="hybridMultilevel"/>
    <w:tmpl w:val="384C0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BD419E"/>
    <w:multiLevelType w:val="hybridMultilevel"/>
    <w:tmpl w:val="21E26706"/>
    <w:lvl w:ilvl="0" w:tplc="90941F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785EE0"/>
    <w:multiLevelType w:val="hybridMultilevel"/>
    <w:tmpl w:val="28EA22A6"/>
    <w:lvl w:ilvl="0" w:tplc="B27EFB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E418EF"/>
    <w:multiLevelType w:val="hybridMultilevel"/>
    <w:tmpl w:val="ADF40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352F73"/>
    <w:multiLevelType w:val="hybridMultilevel"/>
    <w:tmpl w:val="2020CCC2"/>
    <w:lvl w:ilvl="0" w:tplc="72E09554">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C916AE"/>
    <w:multiLevelType w:val="hybridMultilevel"/>
    <w:tmpl w:val="05060E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F83338"/>
    <w:multiLevelType w:val="multilevel"/>
    <w:tmpl w:val="4784F1D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470B16"/>
    <w:multiLevelType w:val="hybridMultilevel"/>
    <w:tmpl w:val="0E56647C"/>
    <w:lvl w:ilvl="0" w:tplc="73B2E296">
      <w:start w:val="1"/>
      <w:numFmt w:val="bullet"/>
      <w:lvlText w:val=""/>
      <w:lvlJc w:val="left"/>
      <w:pPr>
        <w:ind w:left="720" w:hanging="360"/>
      </w:pPr>
      <w:rPr>
        <w:rFonts w:ascii="Symbol" w:hAnsi="Symbol" w:hint="default"/>
      </w:rPr>
    </w:lvl>
    <w:lvl w:ilvl="1" w:tplc="3CC4A4DA">
      <w:start w:val="1"/>
      <w:numFmt w:val="bullet"/>
      <w:lvlText w:val="o"/>
      <w:lvlJc w:val="left"/>
      <w:pPr>
        <w:ind w:left="1440" w:hanging="360"/>
      </w:pPr>
      <w:rPr>
        <w:rFonts w:ascii="Courier New" w:hAnsi="Courier New" w:hint="default"/>
      </w:rPr>
    </w:lvl>
    <w:lvl w:ilvl="2" w:tplc="C3CC09F4">
      <w:start w:val="1"/>
      <w:numFmt w:val="bullet"/>
      <w:lvlText w:val=""/>
      <w:lvlJc w:val="left"/>
      <w:pPr>
        <w:ind w:left="2160" w:hanging="360"/>
      </w:pPr>
      <w:rPr>
        <w:rFonts w:ascii="Wingdings" w:hAnsi="Wingdings" w:hint="default"/>
      </w:rPr>
    </w:lvl>
    <w:lvl w:ilvl="3" w:tplc="34D65ED0">
      <w:start w:val="1"/>
      <w:numFmt w:val="bullet"/>
      <w:lvlText w:val=""/>
      <w:lvlJc w:val="left"/>
      <w:pPr>
        <w:ind w:left="2880" w:hanging="360"/>
      </w:pPr>
      <w:rPr>
        <w:rFonts w:ascii="Symbol" w:hAnsi="Symbol" w:hint="default"/>
      </w:rPr>
    </w:lvl>
    <w:lvl w:ilvl="4" w:tplc="B624133C">
      <w:start w:val="1"/>
      <w:numFmt w:val="bullet"/>
      <w:lvlText w:val="o"/>
      <w:lvlJc w:val="left"/>
      <w:pPr>
        <w:ind w:left="3600" w:hanging="360"/>
      </w:pPr>
      <w:rPr>
        <w:rFonts w:ascii="Courier New" w:hAnsi="Courier New" w:hint="default"/>
      </w:rPr>
    </w:lvl>
    <w:lvl w:ilvl="5" w:tplc="2F4CC804">
      <w:start w:val="1"/>
      <w:numFmt w:val="bullet"/>
      <w:lvlText w:val=""/>
      <w:lvlJc w:val="left"/>
      <w:pPr>
        <w:ind w:left="4320" w:hanging="360"/>
      </w:pPr>
      <w:rPr>
        <w:rFonts w:ascii="Wingdings" w:hAnsi="Wingdings" w:hint="default"/>
      </w:rPr>
    </w:lvl>
    <w:lvl w:ilvl="6" w:tplc="B4E8C82C">
      <w:start w:val="1"/>
      <w:numFmt w:val="bullet"/>
      <w:lvlText w:val=""/>
      <w:lvlJc w:val="left"/>
      <w:pPr>
        <w:ind w:left="5040" w:hanging="360"/>
      </w:pPr>
      <w:rPr>
        <w:rFonts w:ascii="Symbol" w:hAnsi="Symbol" w:hint="default"/>
      </w:rPr>
    </w:lvl>
    <w:lvl w:ilvl="7" w:tplc="CBC2662A">
      <w:start w:val="1"/>
      <w:numFmt w:val="bullet"/>
      <w:lvlText w:val="o"/>
      <w:lvlJc w:val="left"/>
      <w:pPr>
        <w:ind w:left="5760" w:hanging="360"/>
      </w:pPr>
      <w:rPr>
        <w:rFonts w:ascii="Courier New" w:hAnsi="Courier New" w:hint="default"/>
      </w:rPr>
    </w:lvl>
    <w:lvl w:ilvl="8" w:tplc="E364FD98">
      <w:start w:val="1"/>
      <w:numFmt w:val="bullet"/>
      <w:lvlText w:val=""/>
      <w:lvlJc w:val="left"/>
      <w:pPr>
        <w:ind w:left="6480" w:hanging="360"/>
      </w:pPr>
      <w:rPr>
        <w:rFonts w:ascii="Wingdings" w:hAnsi="Wingdings" w:hint="default"/>
      </w:rPr>
    </w:lvl>
  </w:abstractNum>
  <w:abstractNum w:abstractNumId="17" w15:restartNumberingAfterBreak="0">
    <w:nsid w:val="3E2602FF"/>
    <w:multiLevelType w:val="hybridMultilevel"/>
    <w:tmpl w:val="CA861C3E"/>
    <w:lvl w:ilvl="0" w:tplc="95267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87EB4"/>
    <w:multiLevelType w:val="multilevel"/>
    <w:tmpl w:val="0AD4A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A45DD5"/>
    <w:multiLevelType w:val="hybridMultilevel"/>
    <w:tmpl w:val="D96A3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987E42"/>
    <w:multiLevelType w:val="hybridMultilevel"/>
    <w:tmpl w:val="1B504DF0"/>
    <w:lvl w:ilvl="0" w:tplc="DB18D84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F6988"/>
    <w:multiLevelType w:val="hybridMultilevel"/>
    <w:tmpl w:val="B6AA40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EA7D3B"/>
    <w:multiLevelType w:val="multilevel"/>
    <w:tmpl w:val="23F25E9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ED67CA"/>
    <w:multiLevelType w:val="hybridMultilevel"/>
    <w:tmpl w:val="842AE2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480D75"/>
    <w:multiLevelType w:val="hybridMultilevel"/>
    <w:tmpl w:val="EB84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9319D5"/>
    <w:multiLevelType w:val="hybridMultilevel"/>
    <w:tmpl w:val="C18E0CC4"/>
    <w:lvl w:ilvl="0" w:tplc="D90E9B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A961AA"/>
    <w:multiLevelType w:val="hybridMultilevel"/>
    <w:tmpl w:val="6CAC7308"/>
    <w:lvl w:ilvl="0" w:tplc="08090011">
      <w:start w:val="2"/>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8F7438"/>
    <w:multiLevelType w:val="hybridMultilevel"/>
    <w:tmpl w:val="B9CAFB10"/>
    <w:lvl w:ilvl="0" w:tplc="C3E84A28">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23C60"/>
    <w:multiLevelType w:val="multilevel"/>
    <w:tmpl w:val="BD2A6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CE36DEE"/>
    <w:multiLevelType w:val="hybridMultilevel"/>
    <w:tmpl w:val="104EC9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495014">
    <w:abstractNumId w:val="16"/>
  </w:num>
  <w:num w:numId="2" w16cid:durableId="2082872866">
    <w:abstractNumId w:val="12"/>
  </w:num>
  <w:num w:numId="3" w16cid:durableId="1688487514">
    <w:abstractNumId w:val="21"/>
  </w:num>
  <w:num w:numId="4" w16cid:durableId="1931964316">
    <w:abstractNumId w:val="3"/>
  </w:num>
  <w:num w:numId="5" w16cid:durableId="1717465186">
    <w:abstractNumId w:val="5"/>
  </w:num>
  <w:num w:numId="6" w16cid:durableId="1410808183">
    <w:abstractNumId w:val="14"/>
  </w:num>
  <w:num w:numId="7" w16cid:durableId="1824002074">
    <w:abstractNumId w:val="10"/>
  </w:num>
  <w:num w:numId="8" w16cid:durableId="946736167">
    <w:abstractNumId w:val="25"/>
  </w:num>
  <w:num w:numId="9" w16cid:durableId="1542938768">
    <w:abstractNumId w:val="11"/>
  </w:num>
  <w:num w:numId="10" w16cid:durableId="975139410">
    <w:abstractNumId w:val="4"/>
  </w:num>
  <w:num w:numId="11" w16cid:durableId="1980719741">
    <w:abstractNumId w:val="18"/>
  </w:num>
  <w:num w:numId="12" w16cid:durableId="1875191657">
    <w:abstractNumId w:val="28"/>
  </w:num>
  <w:num w:numId="13" w16cid:durableId="1678844309">
    <w:abstractNumId w:val="7"/>
  </w:num>
  <w:num w:numId="14" w16cid:durableId="39718872">
    <w:abstractNumId w:val="26"/>
  </w:num>
  <w:num w:numId="15" w16cid:durableId="1520117357">
    <w:abstractNumId w:val="19"/>
  </w:num>
  <w:num w:numId="16" w16cid:durableId="1701977583">
    <w:abstractNumId w:val="9"/>
  </w:num>
  <w:num w:numId="17" w16cid:durableId="1122529276">
    <w:abstractNumId w:val="29"/>
  </w:num>
  <w:num w:numId="18" w16cid:durableId="2105222755">
    <w:abstractNumId w:val="8"/>
  </w:num>
  <w:num w:numId="19" w16cid:durableId="288707283">
    <w:abstractNumId w:val="1"/>
  </w:num>
  <w:num w:numId="20" w16cid:durableId="1068110557">
    <w:abstractNumId w:val="0"/>
  </w:num>
  <w:num w:numId="21" w16cid:durableId="857112406">
    <w:abstractNumId w:val="17"/>
  </w:num>
  <w:num w:numId="22" w16cid:durableId="700015802">
    <w:abstractNumId w:val="6"/>
  </w:num>
  <w:num w:numId="23" w16cid:durableId="1739326976">
    <w:abstractNumId w:val="15"/>
  </w:num>
  <w:num w:numId="24" w16cid:durableId="253443018">
    <w:abstractNumId w:val="2"/>
  </w:num>
  <w:num w:numId="25" w16cid:durableId="349070216">
    <w:abstractNumId w:val="22"/>
  </w:num>
  <w:num w:numId="26" w16cid:durableId="602422632">
    <w:abstractNumId w:val="24"/>
  </w:num>
  <w:num w:numId="27" w16cid:durableId="725106006">
    <w:abstractNumId w:val="23"/>
  </w:num>
  <w:num w:numId="28" w16cid:durableId="645360204">
    <w:abstractNumId w:val="13"/>
  </w:num>
  <w:num w:numId="29" w16cid:durableId="1974212887">
    <w:abstractNumId w:val="20"/>
  </w:num>
  <w:num w:numId="30" w16cid:durableId="67862676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C70"/>
    <w:rsid w:val="000855AE"/>
    <w:rsid w:val="000919C1"/>
    <w:rsid w:val="000929FE"/>
    <w:rsid w:val="000F543C"/>
    <w:rsid w:val="000F7803"/>
    <w:rsid w:val="0015254C"/>
    <w:rsid w:val="00180EFC"/>
    <w:rsid w:val="001A521B"/>
    <w:rsid w:val="00222EA5"/>
    <w:rsid w:val="00276DB5"/>
    <w:rsid w:val="002A52B3"/>
    <w:rsid w:val="00356A8D"/>
    <w:rsid w:val="00357084"/>
    <w:rsid w:val="003D63CE"/>
    <w:rsid w:val="00415793"/>
    <w:rsid w:val="004710FF"/>
    <w:rsid w:val="004D776C"/>
    <w:rsid w:val="004E2AF4"/>
    <w:rsid w:val="004E623C"/>
    <w:rsid w:val="00520D6F"/>
    <w:rsid w:val="005C0758"/>
    <w:rsid w:val="005D53DE"/>
    <w:rsid w:val="00614E8B"/>
    <w:rsid w:val="0063441F"/>
    <w:rsid w:val="00643C59"/>
    <w:rsid w:val="006A38C5"/>
    <w:rsid w:val="00702BB6"/>
    <w:rsid w:val="007106A5"/>
    <w:rsid w:val="00711330"/>
    <w:rsid w:val="00744785"/>
    <w:rsid w:val="00827AFA"/>
    <w:rsid w:val="00831BEC"/>
    <w:rsid w:val="00863C41"/>
    <w:rsid w:val="008C2C03"/>
    <w:rsid w:val="008E2663"/>
    <w:rsid w:val="00952E94"/>
    <w:rsid w:val="00996965"/>
    <w:rsid w:val="009C0F16"/>
    <w:rsid w:val="009C108E"/>
    <w:rsid w:val="00A04763"/>
    <w:rsid w:val="00A06DD0"/>
    <w:rsid w:val="00A11AFB"/>
    <w:rsid w:val="00A458F1"/>
    <w:rsid w:val="00A9167B"/>
    <w:rsid w:val="00A9699E"/>
    <w:rsid w:val="00B106A3"/>
    <w:rsid w:val="00B32C00"/>
    <w:rsid w:val="00B46922"/>
    <w:rsid w:val="00B7713F"/>
    <w:rsid w:val="00B90C70"/>
    <w:rsid w:val="00BA0D35"/>
    <w:rsid w:val="00BE091F"/>
    <w:rsid w:val="00C86598"/>
    <w:rsid w:val="00C948BD"/>
    <w:rsid w:val="00C95C92"/>
    <w:rsid w:val="00CB4B43"/>
    <w:rsid w:val="00CF4009"/>
    <w:rsid w:val="00D037CF"/>
    <w:rsid w:val="00D6271A"/>
    <w:rsid w:val="00D7767B"/>
    <w:rsid w:val="00D844E3"/>
    <w:rsid w:val="00D8719B"/>
    <w:rsid w:val="00DD30D5"/>
    <w:rsid w:val="00DE0813"/>
    <w:rsid w:val="00E77B8A"/>
    <w:rsid w:val="00EE377D"/>
    <w:rsid w:val="00F07494"/>
    <w:rsid w:val="00F1571A"/>
    <w:rsid w:val="00F640BD"/>
    <w:rsid w:val="00F917C6"/>
    <w:rsid w:val="00FA513B"/>
    <w:rsid w:val="00FB6428"/>
    <w:rsid w:val="00FC7772"/>
    <w:rsid w:val="00FE3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42C4D4"/>
  <w15:chartTrackingRefBased/>
  <w15:docId w15:val="{157326D4-3C41-43D9-9AD4-62E2A9EFF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C70"/>
  </w:style>
  <w:style w:type="paragraph" w:styleId="Heading1">
    <w:name w:val="heading 1"/>
    <w:basedOn w:val="Normal"/>
    <w:next w:val="Normal"/>
    <w:link w:val="Heading1Char"/>
    <w:uiPriority w:val="9"/>
    <w:qFormat/>
    <w:rsid w:val="00B90C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0C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0C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9C108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C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90C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90C7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B90C70"/>
    <w:rPr>
      <w:color w:val="0563C1" w:themeColor="hyperlink"/>
      <w:u w:val="single"/>
    </w:rPr>
  </w:style>
  <w:style w:type="paragraph" w:styleId="Title">
    <w:name w:val="Title"/>
    <w:basedOn w:val="Normal"/>
    <w:next w:val="Normal"/>
    <w:link w:val="TitleChar"/>
    <w:uiPriority w:val="10"/>
    <w:qFormat/>
    <w:rsid w:val="00B90C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0C7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90C70"/>
    <w:pPr>
      <w:ind w:left="720"/>
      <w:contextualSpacing/>
    </w:pPr>
  </w:style>
  <w:style w:type="table" w:styleId="GridTable5Dark-Accent5">
    <w:name w:val="Grid Table 5 Dark Accent 5"/>
    <w:basedOn w:val="TableNormal"/>
    <w:uiPriority w:val="50"/>
    <w:rsid w:val="00B90C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1">
    <w:name w:val="Grid Table 5 Dark Accent 1"/>
    <w:basedOn w:val="TableNormal"/>
    <w:uiPriority w:val="50"/>
    <w:rsid w:val="00B90C7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Emphasis">
    <w:name w:val="Emphasis"/>
    <w:basedOn w:val="DefaultParagraphFont"/>
    <w:uiPriority w:val="20"/>
    <w:qFormat/>
    <w:rsid w:val="00B90C70"/>
    <w:rPr>
      <w:i/>
      <w:iCs/>
    </w:rPr>
  </w:style>
  <w:style w:type="table" w:styleId="TableGrid">
    <w:name w:val="Table Grid"/>
    <w:basedOn w:val="TableNormal"/>
    <w:uiPriority w:val="39"/>
    <w:rsid w:val="004E6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623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A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2B3"/>
    <w:rPr>
      <w:rFonts w:ascii="Segoe UI" w:hAnsi="Segoe UI" w:cs="Segoe UI"/>
      <w:sz w:val="18"/>
      <w:szCs w:val="18"/>
    </w:rPr>
  </w:style>
  <w:style w:type="paragraph" w:styleId="Header">
    <w:name w:val="header"/>
    <w:basedOn w:val="Normal"/>
    <w:link w:val="HeaderChar"/>
    <w:uiPriority w:val="99"/>
    <w:unhideWhenUsed/>
    <w:rsid w:val="005C07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758"/>
  </w:style>
  <w:style w:type="paragraph" w:styleId="Footer">
    <w:name w:val="footer"/>
    <w:basedOn w:val="Normal"/>
    <w:link w:val="FooterChar"/>
    <w:uiPriority w:val="99"/>
    <w:unhideWhenUsed/>
    <w:rsid w:val="005C07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758"/>
  </w:style>
  <w:style w:type="character" w:customStyle="1" w:styleId="Heading5Char">
    <w:name w:val="Heading 5 Char"/>
    <w:basedOn w:val="DefaultParagraphFont"/>
    <w:link w:val="Heading5"/>
    <w:uiPriority w:val="9"/>
    <w:rsid w:val="009C108E"/>
    <w:rPr>
      <w:rFonts w:asciiTheme="majorHAnsi" w:eastAsiaTheme="majorEastAsia" w:hAnsiTheme="majorHAnsi" w:cstheme="majorBidi"/>
      <w:color w:val="2F5496" w:themeColor="accent1" w:themeShade="BF"/>
    </w:rPr>
  </w:style>
  <w:style w:type="paragraph" w:styleId="CommentText">
    <w:name w:val="annotation text"/>
    <w:basedOn w:val="Normal"/>
    <w:link w:val="CommentTextChar"/>
    <w:uiPriority w:val="99"/>
    <w:semiHidden/>
    <w:unhideWhenUsed/>
    <w:rsid w:val="009C108E"/>
    <w:pPr>
      <w:spacing w:before="120" w:after="120" w:line="240" w:lineRule="auto"/>
    </w:pPr>
    <w:rPr>
      <w:rFonts w:ascii="Helvetica" w:hAnsi="Helvetica"/>
      <w:sz w:val="20"/>
      <w:szCs w:val="20"/>
    </w:rPr>
  </w:style>
  <w:style w:type="character" w:customStyle="1" w:styleId="CommentTextChar">
    <w:name w:val="Comment Text Char"/>
    <w:basedOn w:val="DefaultParagraphFont"/>
    <w:link w:val="CommentText"/>
    <w:uiPriority w:val="99"/>
    <w:semiHidden/>
    <w:rsid w:val="009C108E"/>
    <w:rPr>
      <w:rFonts w:ascii="Helvetica" w:hAnsi="Helvetica"/>
      <w:sz w:val="20"/>
      <w:szCs w:val="20"/>
    </w:rPr>
  </w:style>
  <w:style w:type="character" w:customStyle="1" w:styleId="CommentSubjectChar">
    <w:name w:val="Comment Subject Char"/>
    <w:basedOn w:val="CommentTextChar"/>
    <w:link w:val="CommentSubject"/>
    <w:uiPriority w:val="99"/>
    <w:semiHidden/>
    <w:rsid w:val="009C108E"/>
    <w:rPr>
      <w:rFonts w:ascii="Helvetica" w:hAnsi="Helvetica"/>
      <w:b/>
      <w:bCs/>
      <w:sz w:val="20"/>
      <w:szCs w:val="20"/>
    </w:rPr>
  </w:style>
  <w:style w:type="paragraph" w:styleId="CommentSubject">
    <w:name w:val="annotation subject"/>
    <w:basedOn w:val="CommentText"/>
    <w:next w:val="CommentText"/>
    <w:link w:val="CommentSubjectChar"/>
    <w:uiPriority w:val="99"/>
    <w:semiHidden/>
    <w:unhideWhenUsed/>
    <w:rsid w:val="009C108E"/>
    <w:rPr>
      <w:b/>
      <w:bCs/>
    </w:rPr>
  </w:style>
  <w:style w:type="character" w:customStyle="1" w:styleId="CommentSubjectChar1">
    <w:name w:val="Comment Subject Char1"/>
    <w:basedOn w:val="CommentTextChar"/>
    <w:uiPriority w:val="99"/>
    <w:semiHidden/>
    <w:rsid w:val="009C108E"/>
    <w:rPr>
      <w:rFonts w:ascii="Helvetica" w:hAnsi="Helvetica"/>
      <w:b/>
      <w:bCs/>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711330"/>
    <w:rPr>
      <w:color w:val="954F72" w:themeColor="followedHyperlink"/>
      <w:u w:val="single"/>
    </w:rPr>
  </w:style>
  <w:style w:type="paragraph" w:customStyle="1" w:styleId="xmsonormal">
    <w:name w:val="x_msonormal"/>
    <w:basedOn w:val="Normal"/>
    <w:rsid w:val="00F917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48BD"/>
    <w:rPr>
      <w:color w:val="605E5C"/>
      <w:shd w:val="clear" w:color="auto" w:fill="E1DFDD"/>
    </w:rPr>
  </w:style>
  <w:style w:type="character" w:customStyle="1" w:styleId="xcontentpasted2">
    <w:name w:val="x_contentpasted2"/>
    <w:basedOn w:val="DefaultParagraphFont"/>
    <w:rsid w:val="001A5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3338">
      <w:bodyDiv w:val="1"/>
      <w:marLeft w:val="0"/>
      <w:marRight w:val="0"/>
      <w:marTop w:val="0"/>
      <w:marBottom w:val="0"/>
      <w:divBdr>
        <w:top w:val="none" w:sz="0" w:space="0" w:color="auto"/>
        <w:left w:val="none" w:sz="0" w:space="0" w:color="auto"/>
        <w:bottom w:val="none" w:sz="0" w:space="0" w:color="auto"/>
        <w:right w:val="none" w:sz="0" w:space="0" w:color="auto"/>
      </w:divBdr>
    </w:div>
    <w:div w:id="1255550621">
      <w:bodyDiv w:val="1"/>
      <w:marLeft w:val="0"/>
      <w:marRight w:val="0"/>
      <w:marTop w:val="0"/>
      <w:marBottom w:val="0"/>
      <w:divBdr>
        <w:top w:val="none" w:sz="0" w:space="0" w:color="auto"/>
        <w:left w:val="none" w:sz="0" w:space="0" w:color="auto"/>
        <w:bottom w:val="none" w:sz="0" w:space="0" w:color="auto"/>
        <w:right w:val="none" w:sz="0" w:space="0" w:color="auto"/>
      </w:divBdr>
    </w:div>
    <w:div w:id="1340423355">
      <w:bodyDiv w:val="1"/>
      <w:marLeft w:val="0"/>
      <w:marRight w:val="0"/>
      <w:marTop w:val="0"/>
      <w:marBottom w:val="0"/>
      <w:divBdr>
        <w:top w:val="none" w:sz="0" w:space="0" w:color="auto"/>
        <w:left w:val="none" w:sz="0" w:space="0" w:color="auto"/>
        <w:bottom w:val="none" w:sz="0" w:space="0" w:color="auto"/>
        <w:right w:val="none" w:sz="0" w:space="0" w:color="auto"/>
      </w:divBdr>
    </w:div>
    <w:div w:id="1721054065">
      <w:bodyDiv w:val="1"/>
      <w:marLeft w:val="0"/>
      <w:marRight w:val="0"/>
      <w:marTop w:val="0"/>
      <w:marBottom w:val="0"/>
      <w:divBdr>
        <w:top w:val="none" w:sz="0" w:space="0" w:color="auto"/>
        <w:left w:val="none" w:sz="0" w:space="0" w:color="auto"/>
        <w:bottom w:val="none" w:sz="0" w:space="0" w:color="auto"/>
        <w:right w:val="none" w:sz="0" w:space="0" w:color="auto"/>
      </w:divBdr>
    </w:div>
    <w:div w:id="19817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b.sharepoint.com/sites/staff-info/SitePages/knowledge-hub.aspx" TargetMode="External"/><Relationship Id="rId13" Type="http://schemas.openxmlformats.org/officeDocument/2006/relationships/hyperlink" Target="http://www.bristol.ac.uk/hr/tsr/grad-teacher2.html" TargetMode="External"/><Relationship Id="rId18" Type="http://schemas.openxmlformats.org/officeDocument/2006/relationships/hyperlink" Target="https://www.bristol.ac.uk/students/support/" TargetMode="External"/><Relationship Id="rId26" Type="http://schemas.openxmlformats.org/officeDocument/2006/relationships/hyperlink" Target="https://www.youtube.com/watch?v=sFOGy2UwbJk" TargetMode="External"/><Relationship Id="rId3" Type="http://schemas.openxmlformats.org/officeDocument/2006/relationships/settings" Target="settings.xml"/><Relationship Id="rId21" Type="http://schemas.openxmlformats.org/officeDocument/2006/relationships/hyperlink" Target="https://uob.sharepoint.com/sites/myerp/SitePages/Getting-paid-hpts.aspx" TargetMode="External"/><Relationship Id="rId34" Type="http://schemas.openxmlformats.org/officeDocument/2006/relationships/footer" Target="footer2.xml"/><Relationship Id="rId7" Type="http://schemas.openxmlformats.org/officeDocument/2006/relationships/hyperlink" Target="http://www.bristol.ac.uk/hr/tsr/tsr-descriptors-summary.html" TargetMode="External"/><Relationship Id="rId12" Type="http://schemas.openxmlformats.org/officeDocument/2006/relationships/hyperlink" Target="http://www.bristol.ac.uk/hr/tsr/grad-teacher1.html" TargetMode="External"/><Relationship Id="rId17" Type="http://schemas.openxmlformats.org/officeDocument/2006/relationships/hyperlink" Target="https://uob.sharepoint.com/sites/staff-info/SitePages/information-for-staff-supporting-students.aspx" TargetMode="External"/><Relationship Id="rId25" Type="http://schemas.openxmlformats.org/officeDocument/2006/relationships/hyperlink" Target="https://uob.sharepoint.com/sites/myerp/SitePages/Getting-paid-hpts.aspx"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ristol.ac.uk/bilt/staff-development/pgrs/" TargetMode="External"/><Relationship Id="rId20" Type="http://schemas.openxmlformats.org/officeDocument/2006/relationships/hyperlink" Target="http://www.bristol.ac.uk/bilt/staff-development/pgrs/" TargetMode="External"/><Relationship Id="rId29" Type="http://schemas.openxmlformats.org/officeDocument/2006/relationships/hyperlink" Target="https://www.gov.uk/statutory-sick-p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is.ac.uk/bccs/postgraduate-study/current-pg/faq/" TargetMode="External"/><Relationship Id="rId24" Type="http://schemas.openxmlformats.org/officeDocument/2006/relationships/image" Target="media/image1.jpe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ristol.ac.uk/hr/grading/academic/role-profiles/3a.html" TargetMode="External"/><Relationship Id="rId23" Type="http://schemas.openxmlformats.org/officeDocument/2006/relationships/hyperlink" Target="https://uob.sharepoint.com/sites/myerp/SitePages/Getting-paid-hpts.aspx" TargetMode="External"/><Relationship Id="rId28" Type="http://schemas.openxmlformats.org/officeDocument/2006/relationships/hyperlink" Target="https://www.bristol.ac.uk/students/support/" TargetMode="External"/><Relationship Id="rId36" Type="http://schemas.openxmlformats.org/officeDocument/2006/relationships/footer" Target="footer3.xml"/><Relationship Id="rId10" Type="http://schemas.openxmlformats.org/officeDocument/2006/relationships/hyperlink" Target="http://www.bristol.ac.uk/university/dates/" TargetMode="External"/><Relationship Id="rId19" Type="http://schemas.openxmlformats.org/officeDocument/2006/relationships/hyperlink" Target="https://www.bristol.ac.uk/hr/tsr/infotsr/"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istol.ac.uk/university/dates/" TargetMode="External"/><Relationship Id="rId14" Type="http://schemas.openxmlformats.org/officeDocument/2006/relationships/hyperlink" Target="http://www.bristol.ac.uk/hr/tsr/demonstrator.html" TargetMode="External"/><Relationship Id="rId22" Type="http://schemas.openxmlformats.org/officeDocument/2006/relationships/hyperlink" Target="https://www.bris.ac.uk/finance/staff/info-resources/payroll-deadlines.xlsx" TargetMode="External"/><Relationship Id="rId27" Type="http://schemas.openxmlformats.org/officeDocument/2006/relationships/hyperlink" Target="https://www.bristol.ac.uk/hr/wellbeing/" TargetMode="External"/><Relationship Id="rId30" Type="http://schemas.openxmlformats.org/officeDocument/2006/relationships/hyperlink" Target="https://uob.sharepoint.com/sites/myerp/SitePages/personal.aspx"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Wall</dc:creator>
  <cp:keywords/>
  <dc:description/>
  <cp:lastModifiedBy>Kat Byrne</cp:lastModifiedBy>
  <cp:revision>2</cp:revision>
  <dcterms:created xsi:type="dcterms:W3CDTF">2023-09-18T10:53:00Z</dcterms:created>
  <dcterms:modified xsi:type="dcterms:W3CDTF">2023-09-18T10:53:00Z</dcterms:modified>
</cp:coreProperties>
</file>